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pacing w:line="560" w:lineRule="exact"/>
        <w:textAlignment w:val="auto"/>
        <w:rPr>
          <w:rFonts w:hint="eastAsia"/>
        </w:rPr>
      </w:pPr>
    </w:p>
    <w:p>
      <w:pPr>
        <w:keepNext w:val="0"/>
        <w:keepLines w:val="0"/>
        <w:pageBreakBefore w:val="0"/>
        <w:kinsoku/>
        <w:wordWrap/>
        <w:overflowPunct/>
        <w:topLinePunct w:val="0"/>
        <w:autoSpaceDE/>
        <w:autoSpaceDN/>
        <w:bidi w:val="0"/>
        <w:adjustRightInd/>
        <w:spacing w:line="560" w:lineRule="exact"/>
        <w:textAlignment w:val="auto"/>
        <w:rPr>
          <w:rFonts w:hint="eastAsia"/>
        </w:rPr>
      </w:pPr>
    </w:p>
    <w:p>
      <w:pPr>
        <w:keepNext w:val="0"/>
        <w:keepLines w:val="0"/>
        <w:pageBreakBefore w:val="0"/>
        <w:kinsoku/>
        <w:wordWrap/>
        <w:overflowPunct/>
        <w:topLinePunct w:val="0"/>
        <w:autoSpaceDE/>
        <w:autoSpaceDN/>
        <w:bidi w:val="0"/>
        <w:adjustRightInd/>
        <w:spacing w:line="560" w:lineRule="exact"/>
        <w:textAlignment w:val="auto"/>
        <w:rPr>
          <w:rFonts w:hint="eastAsia"/>
        </w:rPr>
      </w:pPr>
    </w:p>
    <w:p>
      <w:pPr>
        <w:keepNext w:val="0"/>
        <w:keepLines w:val="0"/>
        <w:pageBreakBefore w:val="0"/>
        <w:kinsoku/>
        <w:wordWrap/>
        <w:overflowPunct/>
        <w:topLinePunct w:val="0"/>
        <w:autoSpaceDE/>
        <w:autoSpaceDN/>
        <w:bidi w:val="0"/>
        <w:adjustRightInd/>
        <w:spacing w:line="560" w:lineRule="exact"/>
        <w:textAlignment w:val="auto"/>
        <w:rPr>
          <w:rFonts w:hint="eastAsia"/>
        </w:rPr>
      </w:pPr>
      <w:r>
        <w:pict>
          <v:shape id="_x0000_s1027" o:spid="_x0000_s1027" o:spt="136" type="#_x0000_t136" style="position:absolute;left:0pt;margin-left:12.9pt;margin-top:26.05pt;height:66.75pt;width:400.5pt;mso-wrap-distance-bottom:0pt;mso-wrap-distance-left:9pt;mso-wrap-distance-right:9pt;mso-wrap-distance-top:0pt;z-index:251664384;mso-width-relative:page;mso-height-relative:page;" fillcolor="#FF0000" filled="t" stroked="t" coordsize="21600,21600" adj="10800">
            <v:path/>
            <v:fill on="t" color2="#FFFFFF" focussize="0,0"/>
            <v:stroke color="#FF0000"/>
            <v:imagedata o:title=""/>
            <o:lock v:ext="edit" aspectratio="f"/>
            <v:textpath on="t" fitshape="t" fitpath="t" trim="t" xscale="f" string="中共泉州师范学院委员会&#10;" style="font-family:宋体;font-size:36pt;font-weight:bold;v-text-align:center;"/>
            <w10:wrap type="square"/>
          </v:shape>
        </w:pict>
      </w:r>
    </w:p>
    <w:p>
      <w:pPr>
        <w:keepNext w:val="0"/>
        <w:keepLines w:val="0"/>
        <w:pageBreakBefore w:val="0"/>
        <w:kinsoku/>
        <w:wordWrap/>
        <w:overflowPunct/>
        <w:topLinePunct w:val="0"/>
        <w:autoSpaceDE/>
        <w:autoSpaceDN/>
        <w:bidi w:val="0"/>
        <w:adjustRightInd/>
        <w:spacing w:line="560" w:lineRule="exact"/>
        <w:textAlignment w:val="auto"/>
        <w:rPr>
          <w:rFonts w:hint="eastAsia"/>
        </w:rPr>
      </w:pPr>
    </w:p>
    <w:p>
      <w:pPr>
        <w:keepNext w:val="0"/>
        <w:keepLines w:val="0"/>
        <w:pageBreakBefore w:val="0"/>
        <w:kinsoku/>
        <w:wordWrap/>
        <w:overflowPunct/>
        <w:topLinePunct w:val="0"/>
        <w:autoSpaceDE/>
        <w:autoSpaceDN/>
        <w:bidi w:val="0"/>
        <w:adjustRightInd/>
        <w:spacing w:line="560" w:lineRule="exact"/>
        <w:jc w:val="center"/>
        <w:textAlignment w:val="auto"/>
        <w:rPr>
          <w:rFonts w:hint="eastAsia" w:ascii="方正小标宋简体" w:eastAsia="方正小标宋简体"/>
          <w:sz w:val="32"/>
          <w:szCs w:val="32"/>
        </w:rPr>
      </w:pPr>
    </w:p>
    <w:p>
      <w:pPr>
        <w:keepNext w:val="0"/>
        <w:keepLines w:val="0"/>
        <w:pageBreakBefore w:val="0"/>
        <w:kinsoku/>
        <w:wordWrap/>
        <w:overflowPunct/>
        <w:topLinePunct w:val="0"/>
        <w:autoSpaceDE/>
        <w:autoSpaceDN/>
        <w:bidi w:val="0"/>
        <w:adjustRightInd/>
        <w:spacing w:line="560" w:lineRule="exact"/>
        <w:jc w:val="center"/>
        <w:textAlignment w:val="auto"/>
        <w:rPr>
          <w:rFonts w:hint="eastAsia" w:ascii="方正小标宋简体" w:eastAsia="方正小标宋简体"/>
          <w:sz w:val="32"/>
          <w:szCs w:val="32"/>
        </w:rPr>
      </w:pPr>
    </w:p>
    <w:p>
      <w:pPr>
        <w:keepNext w:val="0"/>
        <w:keepLines w:val="0"/>
        <w:pageBreakBefore w:val="0"/>
        <w:kinsoku/>
        <w:wordWrap/>
        <w:overflowPunct/>
        <w:topLinePunct w:val="0"/>
        <w:autoSpaceDE/>
        <w:autoSpaceDN/>
        <w:bidi w:val="0"/>
        <w:adjustRightInd/>
        <w:spacing w:line="560" w:lineRule="exact"/>
        <w:jc w:val="center"/>
        <w:textAlignment w:val="auto"/>
        <w:rPr>
          <w:rFonts w:hint="eastAsia" w:ascii="仿宋_GB2312" w:eastAsia="仿宋_GB2312"/>
          <w:sz w:val="32"/>
          <w:szCs w:val="32"/>
        </w:rPr>
      </w:pPr>
      <w:r>
        <w:rPr>
          <w:rFonts w:hint="eastAsia" w:ascii="仿宋_GB2312" w:eastAsia="仿宋_GB2312"/>
          <w:sz w:val="32"/>
          <w:szCs w:val="32"/>
          <w:lang w:eastAsia="zh-CN"/>
        </w:rPr>
        <w:t>泉师</w:t>
      </w:r>
      <w:r>
        <w:rPr>
          <w:rFonts w:hint="eastAsia" w:ascii="仿宋_GB2312" w:eastAsia="仿宋_GB2312"/>
          <w:sz w:val="32"/>
          <w:szCs w:val="32"/>
        </w:rPr>
        <w:t>委</w:t>
      </w:r>
      <w:r>
        <w:rPr>
          <w:rFonts w:hint="eastAsia" w:ascii="仿宋_GB2312" w:eastAsia="仿宋_GB2312"/>
          <w:sz w:val="32"/>
          <w:szCs w:val="32"/>
          <w:lang w:eastAsia="zh-CN"/>
        </w:rPr>
        <w:t>组</w:t>
      </w:r>
      <w:r>
        <w:rPr>
          <w:rFonts w:hint="eastAsia" w:ascii="仿宋_GB2312" w:eastAsia="仿宋_GB2312"/>
          <w:sz w:val="32"/>
          <w:szCs w:val="32"/>
        </w:rPr>
        <w:t>〔2018〕</w:t>
      </w:r>
      <w:r>
        <w:rPr>
          <w:rFonts w:hint="eastAsia" w:ascii="仿宋_GB2312" w:eastAsia="仿宋_GB2312"/>
          <w:sz w:val="32"/>
          <w:szCs w:val="32"/>
          <w:lang w:val="en-US" w:eastAsia="zh-CN"/>
        </w:rPr>
        <w:t>31</w:t>
      </w:r>
      <w:r>
        <w:rPr>
          <w:rFonts w:hint="eastAsia" w:ascii="仿宋_GB2312" w:eastAsia="仿宋_GB2312"/>
          <w:sz w:val="32"/>
          <w:szCs w:val="32"/>
        </w:rPr>
        <w:t>号</w:t>
      </w:r>
    </w:p>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方正小标宋简体" w:hAnsi="华文中宋" w:eastAsia="方正小标宋简体" w:cs="宋体"/>
          <w:kern w:val="0"/>
          <w:sz w:val="44"/>
          <w:szCs w:val="44"/>
        </w:rPr>
      </w:pPr>
      <w:r>
        <w:rPr>
          <w:rFonts w:ascii="Times New Roman"/>
          <w:color w:val="0D0D0D" w:themeColor="text1" w:themeTint="F2"/>
          <w:sz w:val="28"/>
          <w:szCs w:val="28"/>
          <w14:textFill>
            <w14:solidFill>
              <w14:schemeClr w14:val="tx1">
                <w14:lumMod w14:val="95000"/>
                <w14:lumOff w14:val="5000"/>
              </w14:schemeClr>
            </w14:solidFill>
          </w14:textFill>
        </w:rPr>
        <mc:AlternateContent>
          <mc:Choice Requires="wps">
            <w:drawing>
              <wp:anchor distT="0" distB="0" distL="114300" distR="114300" simplePos="0" relativeHeight="251668480" behindDoc="0" locked="0" layoutInCell="1" allowOverlap="1">
                <wp:simplePos x="0" y="0"/>
                <wp:positionH relativeFrom="column">
                  <wp:posOffset>-121920</wp:posOffset>
                </wp:positionH>
                <wp:positionV relativeFrom="paragraph">
                  <wp:posOffset>76200</wp:posOffset>
                </wp:positionV>
                <wp:extent cx="5629275" cy="0"/>
                <wp:effectExtent l="0" t="17145" r="9525" b="20955"/>
                <wp:wrapNone/>
                <wp:docPr id="3" name="直线 3"/>
                <wp:cNvGraphicFramePr/>
                <a:graphic xmlns:a="http://schemas.openxmlformats.org/drawingml/2006/main">
                  <a:graphicData uri="http://schemas.microsoft.com/office/word/2010/wordprocessingShape">
                    <wps:wsp>
                      <wps:cNvCnPr/>
                      <wps:spPr>
                        <a:xfrm>
                          <a:off x="0" y="0"/>
                          <a:ext cx="5629275" cy="0"/>
                        </a:xfrm>
                        <a:prstGeom prst="line">
                          <a:avLst/>
                        </a:prstGeom>
                        <a:ln w="34925" cap="flat" cmpd="sng">
                          <a:solidFill>
                            <a:srgbClr val="FF0000"/>
                          </a:solidFill>
                          <a:prstDash val="solid"/>
                          <a:headEnd type="none" w="med" len="med"/>
                          <a:tailEnd type="none" w="med" len="med"/>
                        </a:ln>
                      </wps:spPr>
                      <wps:bodyPr upright="1"/>
                    </wps:wsp>
                  </a:graphicData>
                </a:graphic>
              </wp:anchor>
            </w:drawing>
          </mc:Choice>
          <mc:Fallback>
            <w:pict>
              <v:line id="直线 3" o:spid="_x0000_s1026" o:spt="20" style="position:absolute;left:0pt;margin-left:-9.6pt;margin-top:6pt;height:0pt;width:443.25pt;z-index:251668480;mso-width-relative:page;mso-height-relative:page;" filled="f" stroked="t" coordsize="21600,21600" o:gfxdata="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J8Sek7ZAAAACQEAAA8AAAAAAAAAAQAgAAAA&#10;IgAAAGRycy9kb3ducmV2LnhtbFBLAQIUABQAAAAIAIdO4kAI251m0QEAAI4DAAAOAAAAAAAAAAEA&#10;IAAAACgBAABkcnMvZTJvRG9jLnhtbFBLBQYAAAAABgAGAFkBAABrBQAAAAA=&#10;">
                <v:fill on="f" focussize="0,0"/>
                <v:stroke weight="2.75pt" color="#FF0000" joinstyle="round"/>
                <v:imagedata o:title=""/>
                <o:lock v:ext="edit" aspectratio="f"/>
              </v:line>
            </w:pict>
          </mc:Fallback>
        </mc:AlternateContent>
      </w:r>
    </w:p>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方正小标宋简体" w:hAnsi="华文中宋" w:eastAsia="方正小标宋简体" w:cs="宋体"/>
          <w:kern w:val="0"/>
          <w:sz w:val="44"/>
          <w:szCs w:val="44"/>
        </w:rPr>
      </w:pPr>
    </w:p>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方正小标宋简体" w:hAnsi="华文中宋" w:eastAsia="方正小标宋简体" w:cs="宋体"/>
          <w:kern w:val="0"/>
          <w:sz w:val="44"/>
          <w:szCs w:val="44"/>
        </w:rPr>
      </w:pPr>
      <w:r>
        <w:rPr>
          <w:rFonts w:hint="eastAsia" w:ascii="方正小标宋简体" w:hAnsi="华文中宋" w:eastAsia="方正小标宋简体" w:cs="宋体"/>
          <w:kern w:val="0"/>
          <w:sz w:val="44"/>
          <w:szCs w:val="44"/>
          <w:lang w:eastAsia="zh-CN"/>
        </w:rPr>
        <w:t>中共泉州师范学院委员会</w:t>
      </w:r>
      <w:r>
        <w:rPr>
          <w:rFonts w:hint="eastAsia" w:ascii="方正小标宋简体" w:hAnsi="华文中宋" w:eastAsia="方正小标宋简体" w:cs="宋体"/>
          <w:kern w:val="0"/>
          <w:sz w:val="44"/>
          <w:szCs w:val="44"/>
        </w:rPr>
        <w:t>关于开展</w:t>
      </w:r>
    </w:p>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方正小标宋简体" w:hAnsi="华文中宋" w:eastAsia="方正小标宋简体" w:cs="宋体"/>
          <w:kern w:val="0"/>
          <w:sz w:val="44"/>
          <w:szCs w:val="44"/>
        </w:rPr>
      </w:pPr>
      <w:r>
        <w:rPr>
          <w:rFonts w:hint="eastAsia" w:ascii="方正小标宋简体" w:hAnsi="华文中宋" w:eastAsia="方正小标宋简体" w:cs="宋体"/>
          <w:kern w:val="0"/>
          <w:sz w:val="44"/>
          <w:szCs w:val="44"/>
        </w:rPr>
        <w:t>“培养社会主义建设者和接班人”</w:t>
      </w:r>
    </w:p>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方正小标宋简体" w:hAnsi="华文中宋" w:eastAsia="方正小标宋简体" w:cs="宋体"/>
          <w:kern w:val="0"/>
          <w:sz w:val="44"/>
          <w:szCs w:val="44"/>
        </w:rPr>
      </w:pPr>
      <w:r>
        <w:rPr>
          <w:rFonts w:hint="eastAsia" w:ascii="方正小标宋简体" w:hAnsi="华文中宋" w:eastAsia="方正小标宋简体" w:cs="宋体"/>
          <w:kern w:val="0"/>
          <w:sz w:val="44"/>
          <w:szCs w:val="44"/>
        </w:rPr>
        <w:t>主题学习教育的通知</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仿宋_GB2312" w:eastAsia="仿宋_GB2312"/>
          <w:sz w:val="32"/>
          <w:szCs w:val="32"/>
        </w:rPr>
      </w:pPr>
      <w:r>
        <w:rPr>
          <w:rFonts w:hint="eastAsia" w:ascii="仿宋_GB2312" w:eastAsia="仿宋_GB2312"/>
          <w:sz w:val="32"/>
          <w:szCs w:val="32"/>
        </w:rPr>
        <w:t>各二级党委（党总支）、各学院、机关各部（处、室）、各直属单位：</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为贯彻落实全国教育大会精神，在全校各级党组织中兴起学习热潮，根据《中共福建省委组织部 中共福建省委教育工作委员会关于在全省高校开展“培养社会主义建设者和接班人”主题学习教育的通知》（闽委组通〔2018〕119号）文件精神，现就开展“培养社会主义建设者和接班人”主题学习教育工作事项通知如下。</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一、总体要求</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习近平新时代中国特色社会主义思想为指导，全面贯彻党的十九大和十九届二中、三中全会精神，认真贯彻全国教育大会精神,牢固树立“四个意识”、坚决做到“两个维护”，着力加强党对高校的全面领导，贯彻党的教育方针，坚持社会主义办学方向，坚持改革创新，准确把握学校教育事业发展面临的新形势新任务，切实把思想和行动统一到全国教育大会上来，把智慧和力量凝聚到落实全国教育大会提出的各项任务上来，办好人民满意的教育，培养德智体美劳全面发展的社会主义建设者和接班人。</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二、主要形式</w:t>
      </w:r>
    </w:p>
    <w:p>
      <w:pPr>
        <w:keepNext w:val="0"/>
        <w:keepLines w:val="0"/>
        <w:pageBreakBefore w:val="0"/>
        <w:kinsoku/>
        <w:wordWrap/>
        <w:overflowPunct/>
        <w:topLinePunct w:val="0"/>
        <w:autoSpaceDE/>
        <w:autoSpaceDN/>
        <w:bidi w:val="0"/>
        <w:adjustRightInd/>
        <w:spacing w:line="560" w:lineRule="exact"/>
        <w:ind w:firstLine="643" w:firstLineChars="200"/>
        <w:textAlignment w:val="auto"/>
        <w:rPr>
          <w:rFonts w:hint="eastAsia" w:ascii="楷体" w:hAnsi="楷体" w:eastAsia="楷体" w:cs="仿宋_GB2312"/>
          <w:b/>
          <w:bCs/>
          <w:sz w:val="32"/>
          <w:szCs w:val="32"/>
        </w:rPr>
      </w:pPr>
      <w:r>
        <w:rPr>
          <w:rFonts w:hint="eastAsia" w:ascii="楷体" w:hAnsi="楷体" w:eastAsia="楷体" w:cs="仿宋_GB2312"/>
          <w:b/>
          <w:bCs/>
          <w:sz w:val="32"/>
          <w:szCs w:val="32"/>
        </w:rPr>
        <w:t>（一）组织开展大学习</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深化习近平新时代中国特色社会主义思想“大学习”活动，学深悟透习近平总书记关于教育工作的重要论述的科学内涵和精神实质，更好地用以武装头脑、指导实践、推动工作。校、院两级党政主要领导干部要带头学习、宣传，各基层党组织要组织全体党员干部、师生员工认真学习，形成领导干部率先学习、以上率下、层层学习的良好局面，为培养社会主义建设者和接班人统一思想、凝聚力量。</w:t>
      </w:r>
    </w:p>
    <w:p>
      <w:pPr>
        <w:keepNext w:val="0"/>
        <w:keepLines w:val="0"/>
        <w:pageBreakBefore w:val="0"/>
        <w:numPr>
          <w:ilvl w:val="0"/>
          <w:numId w:val="0"/>
        </w:numPr>
        <w:kinsoku/>
        <w:wordWrap/>
        <w:overflowPunct/>
        <w:topLinePunct w:val="0"/>
        <w:autoSpaceDE/>
        <w:autoSpaceDN/>
        <w:bidi w:val="0"/>
        <w:adjustRightInd/>
        <w:spacing w:line="560"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仿宋_GB2312" w:hAnsi="仿宋_GB2312" w:eastAsia="仿宋_GB2312" w:cs="仿宋_GB2312"/>
          <w:sz w:val="32"/>
          <w:szCs w:val="32"/>
          <w:lang w:val="en-US" w:eastAsia="zh-CN"/>
        </w:rPr>
        <w:t>1.校、院两级党委将习近平新时代中国特色社会主义思想和党的十九大精神，以及全国教育大会精神列为党委理论学习中心组的重要学习内容，积极运用学习讲坛、读书会、报告会、网络交流等形式，深入开展集体学习。</w:t>
      </w:r>
      <w:r>
        <w:rPr>
          <w:rFonts w:hint="eastAsia" w:ascii="楷体_GB2312" w:hAnsi="楷体_GB2312" w:eastAsia="楷体_GB2312" w:cs="楷体_GB2312"/>
          <w:sz w:val="32"/>
          <w:szCs w:val="32"/>
          <w:lang w:val="en-US" w:eastAsia="zh-CN"/>
        </w:rPr>
        <w:t>[责任单位：宣传部、各二级党委（党总支）]</w:t>
      </w:r>
    </w:p>
    <w:p>
      <w:pPr>
        <w:keepNext w:val="0"/>
        <w:keepLines w:val="0"/>
        <w:pageBreakBefore w:val="0"/>
        <w:numPr>
          <w:ilvl w:val="0"/>
          <w:numId w:val="0"/>
        </w:numPr>
        <w:kinsoku/>
        <w:wordWrap/>
        <w:overflowPunct/>
        <w:topLinePunct w:val="0"/>
        <w:autoSpaceDE/>
        <w:autoSpaceDN/>
        <w:bidi w:val="0"/>
        <w:adjustRightInd/>
        <w:spacing w:line="560" w:lineRule="exact"/>
        <w:ind w:firstLine="640" w:firstLineChars="200"/>
        <w:textAlignment w:val="auto"/>
        <w:rPr>
          <w:rFonts w:hint="eastAsia" w:ascii="楷体_GB2312" w:hAnsi="楷体_GB2312" w:eastAsia="楷体_GB2312" w:cs="楷体_GB2312"/>
          <w:b w:val="0"/>
          <w:bCs w:val="0"/>
          <w:sz w:val="32"/>
          <w:szCs w:val="32"/>
          <w:lang w:val="en-US"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.以党支部为单位，</w:t>
      </w:r>
      <w:r>
        <w:rPr>
          <w:rFonts w:hint="eastAsia" w:ascii="仿宋_GB2312" w:hAnsi="仿宋_GB2312" w:eastAsia="仿宋_GB2312" w:cs="仿宋_GB2312"/>
          <w:sz w:val="32"/>
          <w:szCs w:val="32"/>
          <w:lang w:eastAsia="zh-CN"/>
        </w:rPr>
        <w:t>确定学习方案</w:t>
      </w:r>
      <w:r>
        <w:rPr>
          <w:rFonts w:hint="eastAsia" w:ascii="仿宋_GB2312" w:hAnsi="仿宋_GB2312" w:eastAsia="仿宋_GB2312" w:cs="仿宋_GB2312"/>
          <w:sz w:val="32"/>
          <w:szCs w:val="32"/>
        </w:rPr>
        <w:t>，明确学习内容、学习任务和学习方式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确保</w:t>
      </w:r>
      <w:r>
        <w:rPr>
          <w:rFonts w:hint="eastAsia" w:ascii="仿宋_GB2312" w:hAnsi="仿宋_GB2312" w:eastAsia="仿宋_GB2312" w:cs="仿宋_GB2312"/>
          <w:sz w:val="32"/>
          <w:szCs w:val="32"/>
          <w:lang w:eastAsia="zh-CN"/>
        </w:rPr>
        <w:t>专题学习</w:t>
      </w:r>
      <w:r>
        <w:rPr>
          <w:rFonts w:hint="eastAsia" w:ascii="仿宋_GB2312" w:hAnsi="仿宋_GB2312" w:eastAsia="仿宋_GB2312" w:cs="仿宋_GB2312"/>
          <w:sz w:val="32"/>
          <w:szCs w:val="32"/>
        </w:rPr>
        <w:t>覆盖到每一个支部、每一名党员师生。</w:t>
      </w:r>
      <w:r>
        <w:rPr>
          <w:rFonts w:hint="eastAsia" w:ascii="楷体_GB2312" w:hAnsi="楷体_GB2312" w:eastAsia="楷体_GB2312" w:cs="楷体_GB2312"/>
          <w:b w:val="0"/>
          <w:bCs w:val="0"/>
          <w:sz w:val="32"/>
          <w:szCs w:val="32"/>
          <w:lang w:val="en-US" w:eastAsia="zh-CN"/>
        </w:rPr>
        <w:t>[责任单位：组织部、各二级党委（党总支）]</w:t>
      </w:r>
    </w:p>
    <w:p>
      <w:pPr>
        <w:keepNext w:val="0"/>
        <w:keepLines w:val="0"/>
        <w:pageBreakBefore w:val="0"/>
        <w:numPr>
          <w:ilvl w:val="0"/>
          <w:numId w:val="0"/>
        </w:numPr>
        <w:kinsoku/>
        <w:wordWrap/>
        <w:overflowPunct/>
        <w:topLinePunct w:val="0"/>
        <w:autoSpaceDE/>
        <w:autoSpaceDN/>
        <w:bidi w:val="0"/>
        <w:adjustRightInd/>
        <w:spacing w:line="560" w:lineRule="exact"/>
        <w:ind w:firstLine="640" w:firstLineChars="200"/>
        <w:textAlignment w:val="auto"/>
        <w:rPr>
          <w:rFonts w:hint="eastAsia" w:ascii="楷体_GB2312" w:hAnsi="楷体_GB2312" w:eastAsia="楷体_GB2312" w:cs="楷体_GB2312"/>
          <w:b w:val="0"/>
          <w:bCs w:val="0"/>
          <w:sz w:val="32"/>
          <w:szCs w:val="32"/>
          <w:lang w:val="en-US"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.结合</w:t>
      </w:r>
      <w:r>
        <w:rPr>
          <w:rFonts w:hint="eastAsia" w:ascii="仿宋_GB2312" w:hAnsi="仿宋_GB2312" w:eastAsia="仿宋_GB2312" w:cs="仿宋_GB2312"/>
          <w:sz w:val="32"/>
          <w:szCs w:val="32"/>
          <w:lang w:eastAsia="zh-CN"/>
        </w:rPr>
        <w:t>各</w:t>
      </w:r>
      <w:r>
        <w:rPr>
          <w:rFonts w:hint="eastAsia" w:ascii="仿宋_GB2312" w:hAnsi="仿宋_GB2312" w:eastAsia="仿宋_GB2312" w:cs="仿宋_GB2312"/>
          <w:sz w:val="32"/>
          <w:szCs w:val="32"/>
        </w:rPr>
        <w:t>单位实际，采取宣讲</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座谈、主题演讲、征文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知识竞答、网络作品等方式，积极引导，广泛推动师生参与学习教育。</w:t>
      </w:r>
      <w:r>
        <w:rPr>
          <w:rFonts w:hint="eastAsia" w:ascii="楷体_GB2312" w:hAnsi="楷体_GB2312" w:eastAsia="楷体_GB2312" w:cs="楷体_GB2312"/>
          <w:b w:val="0"/>
          <w:bCs w:val="0"/>
          <w:sz w:val="32"/>
          <w:szCs w:val="32"/>
          <w:lang w:val="en-US" w:eastAsia="zh-CN"/>
        </w:rPr>
        <w:t>[责任单位：宣传部、学生工作部、各二级党委（党总支）]</w:t>
      </w:r>
    </w:p>
    <w:p>
      <w:pPr>
        <w:keepNext w:val="0"/>
        <w:keepLines w:val="0"/>
        <w:pageBreakBefore w:val="0"/>
        <w:kinsoku/>
        <w:wordWrap/>
        <w:overflowPunct/>
        <w:topLinePunct w:val="0"/>
        <w:autoSpaceDE/>
        <w:autoSpaceDN/>
        <w:bidi w:val="0"/>
        <w:adjustRightInd/>
        <w:spacing w:line="560" w:lineRule="exact"/>
        <w:ind w:firstLine="643" w:firstLineChars="200"/>
        <w:textAlignment w:val="auto"/>
        <w:rPr>
          <w:rFonts w:hint="eastAsia" w:ascii="楷体" w:hAnsi="楷体" w:eastAsia="楷体" w:cs="仿宋_GB2312"/>
          <w:b/>
          <w:bCs/>
          <w:sz w:val="32"/>
          <w:szCs w:val="32"/>
        </w:rPr>
      </w:pPr>
      <w:r>
        <w:rPr>
          <w:rFonts w:hint="eastAsia" w:ascii="楷体" w:hAnsi="楷体" w:eastAsia="楷体" w:cs="仿宋_GB2312"/>
          <w:b/>
          <w:bCs/>
          <w:sz w:val="32"/>
          <w:szCs w:val="32"/>
        </w:rPr>
        <w:t>（二）广泛开展大讨论</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结合学校正在开展的“新时代教育思想大讨论”活动，</w:t>
      </w:r>
      <w:r>
        <w:rPr>
          <w:rFonts w:hint="eastAsia" w:ascii="仿宋_GB2312" w:hAnsi="仿宋_GB2312" w:eastAsia="仿宋_GB2312" w:cs="仿宋_GB2312"/>
          <w:sz w:val="32"/>
          <w:szCs w:val="32"/>
        </w:rPr>
        <w:t>围绕“培养什么人、怎样培养人、为谁培养人”，组织基层党组织和党员、教师、专家学者深入开展研讨活动，进一步提高思想认识，形成教育共识。</w:t>
      </w:r>
    </w:p>
    <w:p>
      <w:pPr>
        <w:keepNext w:val="0"/>
        <w:keepLines w:val="0"/>
        <w:pageBreakBefore w:val="0"/>
        <w:numPr>
          <w:ilvl w:val="0"/>
          <w:numId w:val="0"/>
        </w:numPr>
        <w:kinsoku/>
        <w:wordWrap/>
        <w:overflowPunct/>
        <w:topLinePunct w:val="0"/>
        <w:autoSpaceDE/>
        <w:autoSpaceDN/>
        <w:bidi w:val="0"/>
        <w:adjustRightInd/>
        <w:spacing w:line="560" w:lineRule="exact"/>
        <w:ind w:firstLine="640" w:firstLineChars="200"/>
        <w:textAlignment w:val="auto"/>
        <w:rPr>
          <w:rFonts w:hint="eastAsia" w:ascii="楷体_GB2312" w:hAnsi="楷体_GB2312" w:eastAsia="楷体_GB2312" w:cs="楷体_GB2312"/>
          <w:b w:val="0"/>
          <w:bCs w:val="0"/>
          <w:sz w:val="32"/>
          <w:szCs w:val="32"/>
          <w:lang w:val="en-US" w:eastAsia="zh-CN"/>
        </w:rPr>
      </w:pPr>
      <w:r>
        <w:rPr>
          <w:rFonts w:hint="eastAsia" w:ascii="仿宋_GB2312" w:hAnsi="仿宋_GB2312" w:eastAsia="仿宋_GB2312" w:cs="仿宋_GB2312"/>
          <w:sz w:val="32"/>
          <w:szCs w:val="32"/>
        </w:rPr>
        <w:t>1.</w:t>
      </w:r>
      <w:r>
        <w:rPr>
          <w:rFonts w:hint="eastAsia" w:ascii="仿宋_GB2312" w:eastAsia="仿宋_GB2312"/>
          <w:sz w:val="32"/>
          <w:szCs w:val="32"/>
        </w:rPr>
        <w:t>机关</w:t>
      </w:r>
      <w:r>
        <w:rPr>
          <w:rFonts w:hint="eastAsia" w:ascii="仿宋_GB2312" w:eastAsia="仿宋_GB2312"/>
          <w:sz w:val="32"/>
          <w:szCs w:val="32"/>
          <w:lang w:eastAsia="zh-CN"/>
        </w:rPr>
        <w:t>各</w:t>
      </w:r>
      <w:r>
        <w:rPr>
          <w:rFonts w:hint="eastAsia" w:ascii="仿宋_GB2312" w:eastAsia="仿宋_GB2312"/>
          <w:sz w:val="32"/>
          <w:szCs w:val="32"/>
        </w:rPr>
        <w:t>部（处、室）</w:t>
      </w:r>
      <w:r>
        <w:rPr>
          <w:rFonts w:hint="eastAsia" w:ascii="仿宋_GB2312" w:hAnsi="仿宋_GB2312" w:eastAsia="仿宋_GB2312" w:cs="仿宋_GB2312"/>
          <w:sz w:val="32"/>
          <w:szCs w:val="32"/>
          <w:lang w:eastAsia="zh-CN"/>
        </w:rPr>
        <w:t>、各二级学院</w:t>
      </w:r>
      <w:r>
        <w:rPr>
          <w:rFonts w:hint="eastAsia" w:ascii="仿宋_GB2312" w:hAnsi="仿宋_GB2312" w:eastAsia="仿宋_GB2312" w:cs="仿宋_GB2312"/>
          <w:sz w:val="32"/>
          <w:szCs w:val="32"/>
        </w:rPr>
        <w:t>领导班子重点围绕教育理念、办学思想、育人观念、评价导向、体制机制等深入研讨，把立德树人成效作为检验一切工作的根本标准，让教育回归本位、回归初心。</w:t>
      </w:r>
      <w:r>
        <w:rPr>
          <w:rFonts w:hint="eastAsia" w:ascii="楷体_GB2312" w:hAnsi="楷体_GB2312" w:eastAsia="楷体_GB2312" w:cs="楷体_GB2312"/>
          <w:b w:val="0"/>
          <w:bCs w:val="0"/>
          <w:sz w:val="32"/>
          <w:szCs w:val="32"/>
          <w:lang w:val="en-US" w:eastAsia="zh-CN"/>
        </w:rPr>
        <w:t>[责任单位：机关各部（处、室）、各二级党委（党总支）]</w:t>
      </w:r>
    </w:p>
    <w:p>
      <w:pPr>
        <w:keepNext w:val="0"/>
        <w:keepLines w:val="0"/>
        <w:pageBreakBefore w:val="0"/>
        <w:numPr>
          <w:ilvl w:val="0"/>
          <w:numId w:val="0"/>
        </w:numPr>
        <w:kinsoku/>
        <w:wordWrap/>
        <w:overflowPunct/>
        <w:topLinePunct w:val="0"/>
        <w:autoSpaceDE/>
        <w:autoSpaceDN/>
        <w:bidi w:val="0"/>
        <w:adjustRightInd/>
        <w:spacing w:line="560" w:lineRule="exact"/>
        <w:ind w:firstLine="640" w:firstLineChars="200"/>
        <w:textAlignment w:val="auto"/>
        <w:rPr>
          <w:rFonts w:hint="eastAsia" w:ascii="楷体_GB2312" w:hAnsi="楷体_GB2312" w:eastAsia="楷体_GB2312" w:cs="楷体_GB2312"/>
          <w:b w:val="0"/>
          <w:bCs w:val="0"/>
          <w:sz w:val="32"/>
          <w:szCs w:val="32"/>
          <w:lang w:val="en-US" w:eastAsia="zh-CN"/>
        </w:rPr>
      </w:pPr>
      <w:r>
        <w:rPr>
          <w:rFonts w:hint="eastAsia" w:ascii="仿宋_GB2312" w:hAnsi="仿宋_GB2312" w:eastAsia="仿宋_GB2312" w:cs="仿宋_GB2312"/>
          <w:sz w:val="32"/>
          <w:szCs w:val="32"/>
        </w:rPr>
        <w:t>2.以党支部为单位，以“三会一课”为主要形式，组织开展“培养社会主义建设者和接班人”专题</w:t>
      </w:r>
      <w:r>
        <w:rPr>
          <w:rFonts w:hint="eastAsia" w:ascii="仿宋_GB2312" w:hAnsi="仿宋_GB2312" w:eastAsia="仿宋_GB2312" w:cs="仿宋_GB2312"/>
          <w:sz w:val="32"/>
          <w:szCs w:val="32"/>
          <w:lang w:eastAsia="zh-CN"/>
        </w:rPr>
        <w:t>学习</w:t>
      </w:r>
      <w:r>
        <w:rPr>
          <w:rFonts w:hint="eastAsia" w:ascii="仿宋_GB2312" w:hAnsi="仿宋_GB2312" w:eastAsia="仿宋_GB2312" w:cs="仿宋_GB2312"/>
          <w:sz w:val="32"/>
          <w:szCs w:val="32"/>
        </w:rPr>
        <w:t>讨论。教师党支部重点围绕育人育才目标、教育教学手段、课程思政建设、师德师风建设等开展</w:t>
      </w:r>
      <w:r>
        <w:rPr>
          <w:rFonts w:hint="eastAsia" w:ascii="仿宋_GB2312" w:hAnsi="仿宋_GB2312" w:eastAsia="仿宋_GB2312" w:cs="仿宋_GB2312"/>
          <w:sz w:val="32"/>
          <w:szCs w:val="32"/>
          <w:lang w:eastAsia="zh-CN"/>
        </w:rPr>
        <w:t>学习</w:t>
      </w:r>
      <w:r>
        <w:rPr>
          <w:rFonts w:hint="eastAsia" w:ascii="仿宋_GB2312" w:hAnsi="仿宋_GB2312" w:eastAsia="仿宋_GB2312" w:cs="仿宋_GB2312"/>
          <w:sz w:val="32"/>
          <w:szCs w:val="32"/>
        </w:rPr>
        <w:t>研讨，坚持把立德树人贯穿到具体教育教学工作中，使专业教学与思政教育同向同行。学生党支部重点围绕学习践行“六个下功夫”开展研讨，示范引领广大学生坚定理想信念，践行社会主义核心价值观，塑造优良班风学风，努力把自己锻造成为社会主义建设者和接班人。</w:t>
      </w:r>
      <w:r>
        <w:rPr>
          <w:rFonts w:hint="eastAsia" w:ascii="楷体_GB2312" w:hAnsi="楷体_GB2312" w:eastAsia="楷体_GB2312" w:cs="楷体_GB2312"/>
          <w:b w:val="0"/>
          <w:bCs w:val="0"/>
          <w:sz w:val="32"/>
          <w:szCs w:val="32"/>
          <w:lang w:val="en-US" w:eastAsia="zh-CN"/>
        </w:rPr>
        <w:t>[责任单位：组织部、各二级党委（党总支）]</w:t>
      </w:r>
    </w:p>
    <w:p>
      <w:pPr>
        <w:keepNext w:val="0"/>
        <w:keepLines w:val="0"/>
        <w:pageBreakBefore w:val="0"/>
        <w:numPr>
          <w:ilvl w:val="0"/>
          <w:numId w:val="0"/>
        </w:numPr>
        <w:kinsoku/>
        <w:wordWrap/>
        <w:overflowPunct/>
        <w:topLinePunct w:val="0"/>
        <w:autoSpaceDE/>
        <w:autoSpaceDN/>
        <w:bidi w:val="0"/>
        <w:adjustRightInd/>
        <w:spacing w:line="560" w:lineRule="exact"/>
        <w:ind w:firstLine="640" w:firstLineChars="200"/>
        <w:textAlignment w:val="auto"/>
        <w:rPr>
          <w:rFonts w:hint="eastAsia" w:ascii="楷体_GB2312" w:hAnsi="楷体_GB2312" w:eastAsia="楷体_GB2312" w:cs="楷体_GB2312"/>
          <w:b w:val="0"/>
          <w:bCs w:val="0"/>
          <w:sz w:val="32"/>
          <w:szCs w:val="32"/>
          <w:lang w:val="en-US" w:eastAsia="zh-CN"/>
        </w:rPr>
      </w:pPr>
      <w:r>
        <w:rPr>
          <w:rFonts w:hint="eastAsia" w:ascii="仿宋_GB2312" w:hAnsi="仿宋_GB2312" w:eastAsia="仿宋_GB2312" w:cs="仿宋_GB2312"/>
          <w:sz w:val="32"/>
          <w:szCs w:val="32"/>
        </w:rPr>
        <w:t>3.发挥高校人才和学科优势，加强专家学者理论解读和阐释，将“培养社会主义建设者和接班人”列入学校党建和思想政治工作相关研究，资助一批课题组开展理论实践研究，推动形成一批有深度、有分量、有影响的高质量学术研究成果。</w:t>
      </w:r>
      <w:r>
        <w:rPr>
          <w:rFonts w:hint="eastAsia" w:ascii="楷体_GB2312" w:hAnsi="楷体_GB2312" w:eastAsia="楷体_GB2312" w:cs="楷体_GB2312"/>
          <w:b w:val="0"/>
          <w:bCs w:val="0"/>
          <w:sz w:val="32"/>
          <w:szCs w:val="32"/>
          <w:lang w:val="en-US" w:eastAsia="zh-CN"/>
        </w:rPr>
        <w:t>[责任单位：组织部、宣传部、社科处、各二级党委（党总支）]</w:t>
      </w:r>
    </w:p>
    <w:p>
      <w:pPr>
        <w:keepNext w:val="0"/>
        <w:keepLines w:val="0"/>
        <w:pageBreakBefore w:val="0"/>
        <w:numPr>
          <w:ilvl w:val="0"/>
          <w:numId w:val="0"/>
        </w:numPr>
        <w:kinsoku/>
        <w:wordWrap/>
        <w:overflowPunct/>
        <w:topLinePunct w:val="0"/>
        <w:autoSpaceDE/>
        <w:autoSpaceDN/>
        <w:bidi w:val="0"/>
        <w:adjustRightInd/>
        <w:spacing w:line="560" w:lineRule="exact"/>
        <w:ind w:firstLine="640" w:firstLineChars="200"/>
        <w:textAlignment w:val="auto"/>
        <w:rPr>
          <w:rFonts w:hint="eastAsia" w:ascii="楷体_GB2312" w:hAnsi="楷体_GB2312" w:eastAsia="楷体_GB2312" w:cs="楷体_GB2312"/>
          <w:b w:val="0"/>
          <w:bCs w:val="0"/>
          <w:sz w:val="32"/>
          <w:szCs w:val="32"/>
          <w:lang w:val="en-US" w:eastAsia="zh-CN"/>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将主题学习教育列</w:t>
      </w:r>
      <w:r>
        <w:rPr>
          <w:rFonts w:hint="eastAsia" w:ascii="仿宋_GB2312" w:hAnsi="仿宋_GB2312" w:eastAsia="仿宋_GB2312" w:cs="仿宋_GB2312"/>
          <w:sz w:val="32"/>
          <w:szCs w:val="32"/>
          <w:lang w:eastAsia="zh-CN"/>
        </w:rPr>
        <w:t>入党组织</w:t>
      </w:r>
      <w:r>
        <w:rPr>
          <w:rFonts w:hint="eastAsia" w:ascii="仿宋_GB2312" w:hAnsi="仿宋_GB2312" w:eastAsia="仿宋_GB2312" w:cs="仿宋_GB2312"/>
          <w:sz w:val="32"/>
          <w:szCs w:val="32"/>
        </w:rPr>
        <w:t>“达标创星”</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“对标争先”</w:t>
      </w:r>
      <w:r>
        <w:rPr>
          <w:rFonts w:hint="eastAsia" w:ascii="仿宋_GB2312" w:hAnsi="仿宋_GB2312" w:eastAsia="仿宋_GB2312" w:cs="仿宋_GB2312"/>
          <w:sz w:val="32"/>
          <w:szCs w:val="32"/>
          <w:lang w:eastAsia="zh-CN"/>
        </w:rPr>
        <w:t>创建活动、</w:t>
      </w:r>
      <w:r>
        <w:rPr>
          <w:rFonts w:hint="eastAsia" w:ascii="仿宋_GB2312" w:hAnsi="仿宋_GB2312" w:eastAsia="仿宋_GB2312" w:cs="仿宋_GB2312"/>
          <w:sz w:val="32"/>
          <w:szCs w:val="32"/>
        </w:rPr>
        <w:t>党支部工作“立项活动”</w:t>
      </w:r>
      <w:r>
        <w:rPr>
          <w:rFonts w:hint="eastAsia" w:ascii="仿宋_GB2312" w:hAnsi="仿宋_GB2312" w:eastAsia="仿宋_GB2312" w:cs="仿宋_GB2312"/>
          <w:sz w:val="32"/>
          <w:szCs w:val="32"/>
          <w:lang w:eastAsia="zh-CN"/>
        </w:rPr>
        <w:t>、支部主题党日活动的重要</w:t>
      </w:r>
      <w:r>
        <w:rPr>
          <w:rFonts w:hint="eastAsia" w:ascii="仿宋_GB2312" w:hAnsi="仿宋_GB2312" w:eastAsia="仿宋_GB2312" w:cs="仿宋_GB2312"/>
          <w:sz w:val="32"/>
          <w:szCs w:val="32"/>
        </w:rPr>
        <w:t>内容，推动学习研讨融入基层党建具体实践，着力提升主题学习教育成效。</w:t>
      </w:r>
      <w:r>
        <w:rPr>
          <w:rFonts w:hint="eastAsia" w:ascii="楷体_GB2312" w:hAnsi="楷体_GB2312" w:eastAsia="楷体_GB2312" w:cs="楷体_GB2312"/>
          <w:b w:val="0"/>
          <w:bCs w:val="0"/>
          <w:sz w:val="32"/>
          <w:szCs w:val="32"/>
          <w:lang w:val="en-US" w:eastAsia="zh-CN"/>
        </w:rPr>
        <w:t>[责任单位：组织部、各二级党委（党总支）]</w:t>
      </w:r>
    </w:p>
    <w:p>
      <w:pPr>
        <w:keepNext w:val="0"/>
        <w:keepLines w:val="0"/>
        <w:pageBreakBefore w:val="0"/>
        <w:kinsoku/>
        <w:wordWrap/>
        <w:overflowPunct/>
        <w:topLinePunct w:val="0"/>
        <w:autoSpaceDE/>
        <w:autoSpaceDN/>
        <w:bidi w:val="0"/>
        <w:adjustRightInd/>
        <w:spacing w:line="560" w:lineRule="exact"/>
        <w:ind w:firstLine="643" w:firstLineChars="200"/>
        <w:textAlignment w:val="auto"/>
        <w:rPr>
          <w:rFonts w:hint="eastAsia" w:ascii="楷体" w:hAnsi="楷体" w:eastAsia="楷体" w:cs="仿宋_GB2312"/>
          <w:b/>
          <w:bCs/>
          <w:sz w:val="32"/>
          <w:szCs w:val="32"/>
        </w:rPr>
      </w:pPr>
      <w:r>
        <w:rPr>
          <w:rFonts w:hint="eastAsia" w:ascii="楷体" w:hAnsi="楷体" w:eastAsia="楷体" w:cs="仿宋_GB2312"/>
          <w:b/>
          <w:bCs/>
          <w:sz w:val="32"/>
          <w:szCs w:val="32"/>
        </w:rPr>
        <w:t>（三）深入实施大培训</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将习近平新时代中国特色社会主义思想，以及全国教育大会精神，列入党校开展教育培训的重要内容，分批、分类型、分层次开展培训，实现全覆盖。</w:t>
      </w:r>
    </w:p>
    <w:p>
      <w:pPr>
        <w:keepNext w:val="0"/>
        <w:keepLines w:val="0"/>
        <w:pageBreakBefore w:val="0"/>
        <w:numPr>
          <w:ilvl w:val="0"/>
          <w:numId w:val="0"/>
        </w:numPr>
        <w:kinsoku/>
        <w:wordWrap/>
        <w:overflowPunct/>
        <w:topLinePunct w:val="0"/>
        <w:autoSpaceDE/>
        <w:autoSpaceDN/>
        <w:bidi w:val="0"/>
        <w:adjustRightInd/>
        <w:spacing w:line="560" w:lineRule="exact"/>
        <w:ind w:firstLine="640" w:firstLineChars="200"/>
        <w:textAlignment w:val="auto"/>
        <w:rPr>
          <w:rFonts w:hint="eastAsia" w:ascii="楷体_GB2312" w:hAnsi="楷体_GB2312" w:eastAsia="楷体_GB2312" w:cs="楷体_GB2312"/>
          <w:b w:val="0"/>
          <w:bCs w:val="0"/>
          <w:sz w:val="32"/>
          <w:szCs w:val="32"/>
          <w:lang w:val="en-US" w:eastAsia="zh-CN"/>
        </w:rPr>
      </w:pPr>
      <w:r>
        <w:rPr>
          <w:rFonts w:hint="eastAsia" w:ascii="仿宋_GB2312" w:hAnsi="仿宋_GB2312" w:eastAsia="仿宋_GB2312" w:cs="仿宋_GB2312"/>
          <w:sz w:val="32"/>
          <w:szCs w:val="32"/>
        </w:rPr>
        <w:t>1.深入实施“领头雁”工程，以轮训的方式，每年至少对全校基层党组织书记、党务工作队伍集中轮训一次，确保培训全覆盖。</w:t>
      </w:r>
      <w:r>
        <w:rPr>
          <w:rFonts w:hint="eastAsia" w:ascii="楷体_GB2312" w:hAnsi="楷体_GB2312" w:eastAsia="楷体_GB2312" w:cs="楷体_GB2312"/>
          <w:b w:val="0"/>
          <w:bCs w:val="0"/>
          <w:sz w:val="32"/>
          <w:szCs w:val="32"/>
          <w:lang w:val="en-US" w:eastAsia="zh-CN"/>
        </w:rPr>
        <w:t>[责任单位：组织部]</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楷体_GB2312" w:hAnsi="楷体_GB2312" w:eastAsia="楷体_GB2312" w:cs="楷体_GB2312"/>
          <w:b w:val="0"/>
          <w:bCs w:val="0"/>
          <w:sz w:val="32"/>
          <w:szCs w:val="32"/>
          <w:lang w:val="en-US" w:eastAsia="zh-CN"/>
        </w:rPr>
      </w:pPr>
      <w:r>
        <w:rPr>
          <w:rFonts w:hint="eastAsia" w:ascii="仿宋_GB2312" w:hAnsi="仿宋_GB2312" w:eastAsia="仿宋_GB2312" w:cs="仿宋_GB2312"/>
          <w:sz w:val="32"/>
          <w:szCs w:val="32"/>
        </w:rPr>
        <w:t>2.加强入党积极分子</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党员</w:t>
      </w:r>
      <w:r>
        <w:rPr>
          <w:rFonts w:hint="eastAsia" w:ascii="仿宋_GB2312" w:hAnsi="仿宋_GB2312" w:eastAsia="仿宋_GB2312" w:cs="仿宋_GB2312"/>
          <w:sz w:val="32"/>
          <w:szCs w:val="32"/>
          <w:lang w:eastAsia="zh-CN"/>
        </w:rPr>
        <w:t>、团学组织学生骨干</w:t>
      </w:r>
      <w:r>
        <w:rPr>
          <w:rFonts w:hint="eastAsia" w:ascii="仿宋_GB2312" w:hAnsi="仿宋_GB2312" w:eastAsia="仿宋_GB2312" w:cs="仿宋_GB2312"/>
          <w:sz w:val="32"/>
          <w:szCs w:val="32"/>
        </w:rPr>
        <w:t>培训，依托校党校、分党校重点开</w:t>
      </w:r>
      <w:r>
        <w:rPr>
          <w:rFonts w:hint="eastAsia" w:ascii="仿宋_GB2312" w:hAnsi="仿宋_GB2312" w:eastAsia="仿宋_GB2312" w:cs="仿宋_GB2312"/>
          <w:spacing w:val="-6"/>
          <w:sz w:val="32"/>
          <w:szCs w:val="32"/>
        </w:rPr>
        <w:t>展爱国主义和红色文化教育、中国近代史、中国革命史、中国共产党史等方面教育，</w:t>
      </w:r>
      <w:r>
        <w:rPr>
          <w:rFonts w:hint="eastAsia" w:ascii="仿宋_GB2312" w:hAnsi="仿宋_GB2312" w:eastAsia="仿宋_GB2312" w:cs="仿宋_GB2312"/>
          <w:spacing w:val="-6"/>
          <w:sz w:val="32"/>
          <w:szCs w:val="32"/>
          <w:lang w:eastAsia="zh-CN"/>
        </w:rPr>
        <w:t>在全校共青团开展“青年大学习”行动，办好大学生骨干培训班，</w:t>
      </w:r>
      <w:r>
        <w:rPr>
          <w:rFonts w:hint="eastAsia" w:ascii="仿宋_GB2312" w:hAnsi="仿宋_GB2312" w:eastAsia="仿宋_GB2312" w:cs="仿宋_GB2312"/>
          <w:spacing w:val="-6"/>
          <w:sz w:val="32"/>
          <w:szCs w:val="32"/>
        </w:rPr>
        <w:t>引导广大党员提高党性修养，增强“四个意识”， 坚定“四个自信”。</w:t>
      </w:r>
      <w:r>
        <w:rPr>
          <w:rFonts w:hint="eastAsia" w:ascii="楷体_GB2312" w:hAnsi="楷体_GB2312" w:eastAsia="楷体_GB2312" w:cs="楷体_GB2312"/>
          <w:b w:val="0"/>
          <w:bCs w:val="0"/>
          <w:sz w:val="32"/>
          <w:szCs w:val="32"/>
          <w:lang w:val="en-US" w:eastAsia="zh-CN"/>
        </w:rPr>
        <w:t>[责任单位：组织部、团委、各二级党委（党总支）]</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楷体" w:hAnsi="楷体" w:eastAsia="楷体" w:cs="楷体"/>
          <w:sz w:val="32"/>
          <w:szCs w:val="32"/>
        </w:rPr>
      </w:pPr>
      <w:r>
        <w:rPr>
          <w:rFonts w:hint="eastAsia" w:ascii="仿宋_GB2312" w:hAnsi="仿宋_GB2312" w:eastAsia="仿宋_GB2312" w:cs="仿宋_GB2312"/>
          <w:sz w:val="32"/>
          <w:szCs w:val="32"/>
        </w:rPr>
        <w:t>3.深入开展教师业务培训，将师德师风教育作为重要培训内容，引导广大教师认真对照“四有”标准，以德立身、以德立学、以德施教。</w:t>
      </w:r>
      <w:r>
        <w:rPr>
          <w:rFonts w:hint="eastAsia" w:ascii="楷体_GB2312" w:hAnsi="楷体_GB2312" w:eastAsia="楷体_GB2312" w:cs="楷体_GB2312"/>
          <w:b w:val="0"/>
          <w:bCs w:val="0"/>
          <w:sz w:val="32"/>
          <w:szCs w:val="32"/>
          <w:lang w:val="en-US" w:eastAsia="zh-CN"/>
        </w:rPr>
        <w:t>[责任单位：教师工作部、教师发展中心]</w:t>
      </w:r>
    </w:p>
    <w:p>
      <w:pPr>
        <w:keepNext w:val="0"/>
        <w:keepLines w:val="0"/>
        <w:pageBreakBefore w:val="0"/>
        <w:numPr>
          <w:ilvl w:val="0"/>
          <w:numId w:val="0"/>
        </w:numPr>
        <w:kinsoku/>
        <w:wordWrap/>
        <w:overflowPunct/>
        <w:topLinePunct w:val="0"/>
        <w:autoSpaceDE/>
        <w:autoSpaceDN/>
        <w:bidi w:val="0"/>
        <w:adjustRightInd/>
        <w:spacing w:line="560"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仿宋_GB2312" w:hAnsi="仿宋_GB2312" w:eastAsia="仿宋_GB2312" w:cs="仿宋_GB2312"/>
          <w:sz w:val="32"/>
          <w:szCs w:val="32"/>
        </w:rPr>
        <w:t>4.创新教育培训方式，鼓励线上学习培训和线下集中教育相结合，用好“党员e家”“两微一端”“易班”等平台，扩大学习培训覆盖面。</w:t>
      </w:r>
      <w:r>
        <w:rPr>
          <w:rFonts w:hint="eastAsia" w:ascii="楷体_GB2312" w:hAnsi="楷体_GB2312" w:eastAsia="楷体_GB2312" w:cs="楷体_GB2312"/>
          <w:sz w:val="32"/>
          <w:szCs w:val="32"/>
          <w:lang w:val="en-US" w:eastAsia="zh-CN"/>
        </w:rPr>
        <w:t>[责任单位：组织部、学生工作部、教师工作部、宣传部、各二级党委（党总支）]</w:t>
      </w:r>
    </w:p>
    <w:p>
      <w:pPr>
        <w:keepNext w:val="0"/>
        <w:keepLines w:val="0"/>
        <w:pageBreakBefore w:val="0"/>
        <w:numPr>
          <w:ilvl w:val="0"/>
          <w:numId w:val="0"/>
        </w:numPr>
        <w:kinsoku/>
        <w:wordWrap/>
        <w:overflowPunct/>
        <w:topLinePunct w:val="0"/>
        <w:autoSpaceDE/>
        <w:autoSpaceDN/>
        <w:bidi w:val="0"/>
        <w:adjustRightInd/>
        <w:spacing w:line="560"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仿宋_GB2312" w:hAnsi="楷体" w:eastAsia="仿宋_GB2312" w:cs="楷体"/>
          <w:sz w:val="32"/>
          <w:szCs w:val="32"/>
        </w:rPr>
        <w:t>5.加强思想政治工作队伍培训。依托教育部高校辅导员培训和研修基地、国内知名高校等资源，组织辅导员、心理健康工作人员等开展网络思政、心理健康、思想引领等专题培训，提升思想政治工作队伍师生党性修养、业务水平。</w:t>
      </w:r>
      <w:r>
        <w:rPr>
          <w:rFonts w:hint="eastAsia" w:ascii="楷体_GB2312" w:hAnsi="楷体_GB2312" w:eastAsia="楷体_GB2312" w:cs="楷体_GB2312"/>
          <w:sz w:val="32"/>
          <w:szCs w:val="32"/>
          <w:lang w:val="en-US" w:eastAsia="zh-CN"/>
        </w:rPr>
        <w:t>[责任单位：学生工作部]</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三、组织领导</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单位要把开展主题教育作为一项重要任务，切实提高思想认识，制定具体落实方案，精心组织，周密安排，创新形式，确保取得实效。要加强宣传引导，注重运用各类媒体平台宣传学习教育的做法和成效，及时选树一批爱党爱国、教书育人、立志成才的师生典型，营造浓厚学习氛围。要坚持问题导向，切实解决一批学校党的建设、思想政治工作、教育教学行为、人才评价导向、制度体制机制等方面存在的突出问题，把推动解决实际问题贯穿学习教育始终。要把学习贯彻情况列为基层党组织书记抓基层党建述职评议考核工作的重要内容，纳入基层党支部达标创星活动和全省高校“十百千万”工程等创建考评内容。</w:t>
      </w:r>
    </w:p>
    <w:p>
      <w:pPr>
        <w:keepNext w:val="0"/>
        <w:keepLines w:val="0"/>
        <w:pageBreakBefore w:val="0"/>
        <w:kinsoku/>
        <w:wordWrap/>
        <w:overflowPunct/>
        <w:topLinePunct w:val="0"/>
        <w:autoSpaceDE/>
        <w:autoSpaceDN/>
        <w:bidi w:val="0"/>
        <w:adjustRightInd/>
        <w:spacing w:line="560" w:lineRule="exact"/>
        <w:ind w:firstLine="640" w:firstLineChars="200"/>
        <w:jc w:val="right"/>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pacing w:line="560" w:lineRule="exact"/>
        <w:ind w:firstLine="640" w:firstLineChars="200"/>
        <w:jc w:val="right"/>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pacing w:line="560" w:lineRule="exact"/>
        <w:ind w:firstLine="640" w:firstLineChars="200"/>
        <w:jc w:val="right"/>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中共泉州师范学院委员会</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2018年12月</w:t>
      </w:r>
      <w:r>
        <w:rPr>
          <w:rFonts w:hint="eastAsia" w:ascii="仿宋_GB2312" w:hAnsi="仿宋_GB2312" w:eastAsia="仿宋_GB2312" w:cs="仿宋_GB2312"/>
          <w:sz w:val="32"/>
          <w:szCs w:val="32"/>
          <w:lang w:val="en-US" w:eastAsia="zh-CN"/>
        </w:rPr>
        <w:t>28</w:t>
      </w:r>
      <w:r>
        <w:rPr>
          <w:rFonts w:hint="eastAsia" w:ascii="仿宋_GB2312" w:hAnsi="仿宋_GB2312" w:eastAsia="仿宋_GB2312" w:cs="仿宋_GB2312"/>
          <w:sz w:val="32"/>
          <w:szCs w:val="32"/>
        </w:rPr>
        <w:t>日</w:t>
      </w:r>
    </w:p>
    <w:p>
      <w:pPr>
        <w:keepNext w:val="0"/>
        <w:keepLines w:val="0"/>
        <w:pageBreakBefore w:val="0"/>
        <w:kinsoku/>
        <w:wordWrap/>
        <w:overflowPunct/>
        <w:topLinePunct w:val="0"/>
        <w:autoSpaceDE/>
        <w:autoSpaceDN/>
        <w:bidi w:val="0"/>
        <w:adjustRightInd/>
        <w:spacing w:line="560" w:lineRule="exact"/>
        <w:textAlignment w:val="auto"/>
      </w:pPr>
    </w:p>
    <w:p>
      <w:pPr>
        <w:keepNext w:val="0"/>
        <w:keepLines w:val="0"/>
        <w:pageBreakBefore w:val="0"/>
        <w:kinsoku/>
        <w:wordWrap/>
        <w:overflowPunct/>
        <w:topLinePunct w:val="0"/>
        <w:autoSpaceDE/>
        <w:autoSpaceDN/>
        <w:bidi w:val="0"/>
        <w:adjustRightInd/>
        <w:spacing w:line="560" w:lineRule="exact"/>
        <w:textAlignment w:val="auto"/>
        <w:rPr>
          <w:rFonts w:hint="eastAsia"/>
        </w:rPr>
      </w:pPr>
      <w:r>
        <w:rPr>
          <w:rFonts w:hint="eastAsia"/>
        </w:rPr>
        <w:t xml:space="preserve">  </w:t>
      </w:r>
      <w:bookmarkStart w:id="0" w:name="_GoBack"/>
      <w:bookmarkEnd w:id="0"/>
    </w:p>
    <w:p>
      <w:pPr>
        <w:keepNext w:val="0"/>
        <w:keepLines w:val="0"/>
        <w:pageBreakBefore w:val="0"/>
        <w:kinsoku/>
        <w:wordWrap/>
        <w:overflowPunct/>
        <w:topLinePunct w:val="0"/>
        <w:autoSpaceDE/>
        <w:autoSpaceDN/>
        <w:bidi w:val="0"/>
        <w:adjustRightInd/>
        <w:spacing w:line="560" w:lineRule="exact"/>
        <w:textAlignment w:val="auto"/>
        <w:rPr>
          <w:rFonts w:hint="eastAsia"/>
        </w:rPr>
      </w:pPr>
    </w:p>
    <w:p>
      <w:pPr>
        <w:keepNext w:val="0"/>
        <w:keepLines w:val="0"/>
        <w:pageBreakBefore w:val="0"/>
        <w:kinsoku/>
        <w:wordWrap/>
        <w:overflowPunct/>
        <w:topLinePunct w:val="0"/>
        <w:autoSpaceDE/>
        <w:autoSpaceDN/>
        <w:bidi w:val="0"/>
        <w:adjustRightInd/>
        <w:spacing w:line="560" w:lineRule="exact"/>
        <w:textAlignment w:val="auto"/>
        <w:rPr>
          <w:rFonts w:hint="eastAsia"/>
        </w:rPr>
      </w:pPr>
    </w:p>
    <w:p>
      <w:pPr>
        <w:keepNext w:val="0"/>
        <w:keepLines w:val="0"/>
        <w:pageBreakBefore w:val="0"/>
        <w:kinsoku/>
        <w:wordWrap/>
        <w:overflowPunct/>
        <w:topLinePunct w:val="0"/>
        <w:autoSpaceDE/>
        <w:autoSpaceDN/>
        <w:bidi w:val="0"/>
        <w:adjustRightInd/>
        <w:spacing w:line="560" w:lineRule="exact"/>
        <w:textAlignment w:val="auto"/>
        <w:rPr>
          <w:rFonts w:hint="eastAsia"/>
        </w:rPr>
      </w:pPr>
    </w:p>
    <w:p>
      <w:pPr>
        <w:keepNext w:val="0"/>
        <w:keepLines w:val="0"/>
        <w:pageBreakBefore w:val="0"/>
        <w:kinsoku/>
        <w:wordWrap/>
        <w:overflowPunct/>
        <w:topLinePunct w:val="0"/>
        <w:autoSpaceDE/>
        <w:autoSpaceDN/>
        <w:bidi w:val="0"/>
        <w:adjustRightInd/>
        <w:spacing w:line="560" w:lineRule="exact"/>
        <w:textAlignment w:val="auto"/>
        <w:rPr>
          <w:rFonts w:hint="eastAsia"/>
        </w:rPr>
      </w:pPr>
    </w:p>
    <w:p>
      <w:pPr>
        <w:keepNext w:val="0"/>
        <w:keepLines w:val="0"/>
        <w:pageBreakBefore w:val="0"/>
        <w:kinsoku/>
        <w:wordWrap/>
        <w:overflowPunct/>
        <w:topLinePunct w:val="0"/>
        <w:autoSpaceDE/>
        <w:autoSpaceDN/>
        <w:bidi w:val="0"/>
        <w:adjustRightInd/>
        <w:spacing w:line="560" w:lineRule="exact"/>
        <w:textAlignment w:val="auto"/>
        <w:rPr>
          <w:rFonts w:hint="eastAsia"/>
        </w:rPr>
      </w:pPr>
    </w:p>
    <w:p>
      <w:pPr>
        <w:keepNext w:val="0"/>
        <w:keepLines w:val="0"/>
        <w:pageBreakBefore w:val="0"/>
        <w:kinsoku/>
        <w:wordWrap/>
        <w:overflowPunct/>
        <w:topLinePunct w:val="0"/>
        <w:autoSpaceDE/>
        <w:autoSpaceDN/>
        <w:bidi w:val="0"/>
        <w:adjustRightInd/>
        <w:spacing w:line="560" w:lineRule="exact"/>
        <w:textAlignment w:val="auto"/>
        <w:rPr>
          <w:rFonts w:hint="eastAsia"/>
        </w:rPr>
      </w:pPr>
    </w:p>
    <w:p>
      <w:pPr>
        <w:keepNext w:val="0"/>
        <w:keepLines w:val="0"/>
        <w:pageBreakBefore w:val="0"/>
        <w:kinsoku/>
        <w:wordWrap/>
        <w:overflowPunct/>
        <w:topLinePunct w:val="0"/>
        <w:autoSpaceDE/>
        <w:autoSpaceDN/>
        <w:bidi w:val="0"/>
        <w:adjustRightInd/>
        <w:spacing w:line="560" w:lineRule="exact"/>
        <w:textAlignment w:val="auto"/>
        <w:rPr>
          <w:rFonts w:hint="eastAsia"/>
        </w:rPr>
      </w:pPr>
    </w:p>
    <w:p>
      <w:pPr>
        <w:keepNext w:val="0"/>
        <w:keepLines w:val="0"/>
        <w:pageBreakBefore w:val="0"/>
        <w:kinsoku/>
        <w:wordWrap/>
        <w:overflowPunct/>
        <w:topLinePunct w:val="0"/>
        <w:autoSpaceDE/>
        <w:autoSpaceDN/>
        <w:bidi w:val="0"/>
        <w:adjustRightInd/>
        <w:spacing w:line="560" w:lineRule="exact"/>
        <w:ind w:right="-328" w:rightChars="-156"/>
        <w:textAlignment w:val="auto"/>
        <w:rPr>
          <w:rFonts w:hint="eastAsia" w:ascii="仿宋_GB2312" w:hAnsi="宋体" w:eastAsia="仿宋_GB2312"/>
          <w:sz w:val="32"/>
          <w:szCs w:val="32"/>
          <w:u w:val="thick"/>
          <w:lang w:val="en-US"/>
        </w:rPr>
      </w:pPr>
      <w:r>
        <w:rPr>
          <w:rFonts w:hint="eastAsia" w:ascii="仿宋_GB2312" w:hAnsi="宋体" w:eastAsia="仿宋_GB2312"/>
          <w:sz w:val="32"/>
          <w:szCs w:val="32"/>
          <w:u w:val="thick"/>
          <w:lang w:val="en-US" w:eastAsia="zh-CN"/>
        </w:rPr>
        <w:t xml:space="preserve"> </w:t>
      </w:r>
      <w:r>
        <w:rPr>
          <w:rFonts w:hint="eastAsia" w:ascii="仿宋_GB2312" w:hAnsi="宋体" w:eastAsia="仿宋_GB2312"/>
          <w:sz w:val="32"/>
          <w:szCs w:val="32"/>
          <w:u w:val="thick"/>
        </w:rPr>
        <w:t xml:space="preserve">                                                 </w:t>
      </w:r>
      <w:r>
        <w:rPr>
          <w:rFonts w:hint="eastAsia" w:ascii="仿宋_GB2312" w:hAnsi="宋体" w:eastAsia="仿宋_GB2312"/>
          <w:sz w:val="32"/>
          <w:szCs w:val="32"/>
          <w:u w:val="thick"/>
          <w:lang w:val="en-US" w:eastAsia="zh-CN"/>
        </w:rPr>
        <w:t xml:space="preserve">   </w:t>
      </w:r>
      <w:r>
        <w:rPr>
          <w:rFonts w:hint="eastAsia" w:ascii="仿宋_GB2312" w:hAnsi="宋体" w:eastAsia="仿宋_GB2312"/>
          <w:sz w:val="32"/>
          <w:szCs w:val="32"/>
          <w:u w:val="thick"/>
        </w:rPr>
        <w:t xml:space="preserve"> </w:t>
      </w:r>
      <w:r>
        <w:rPr>
          <w:rFonts w:hint="eastAsia" w:ascii="仿宋_GB2312" w:hAnsi="宋体" w:eastAsia="仿宋_GB2312"/>
          <w:sz w:val="32"/>
          <w:szCs w:val="32"/>
          <w:u w:val="thick"/>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仿宋_GB2312" w:eastAsia="仿宋_GB2312"/>
          <w:sz w:val="28"/>
          <w:szCs w:val="28"/>
          <w:u w:val="single" w:color="auto"/>
        </w:rPr>
      </w:pPr>
      <w:r>
        <w:rPr>
          <w:rFonts w:hint="eastAsia" w:ascii="仿宋_GB2312" w:eastAsia="仿宋_GB2312"/>
          <w:color w:val="FFFFFF" w:themeColor="background1"/>
          <w:sz w:val="28"/>
          <w:szCs w:val="28"/>
          <w:u w:val="single" w:color="auto"/>
          <w:lang w:val="en-US" w:eastAsia="zh-CN"/>
          <w14:textFill>
            <w14:solidFill>
              <w14:schemeClr w14:val="bg1"/>
            </w14:solidFill>
          </w14:textFill>
        </w:rPr>
        <w:t>抄</w:t>
      </w:r>
      <w:r>
        <w:rPr>
          <w:rFonts w:hint="eastAsia" w:ascii="仿宋_GB2312" w:eastAsia="仿宋_GB2312"/>
          <w:sz w:val="28"/>
          <w:szCs w:val="28"/>
          <w:u w:val="single" w:color="auto"/>
          <w:lang w:val="en-US" w:eastAsia="zh-CN"/>
        </w:rPr>
        <w:t>抄</w:t>
      </w:r>
      <w:r>
        <w:rPr>
          <w:rFonts w:hint="eastAsia" w:ascii="仿宋_GB2312" w:eastAsia="仿宋_GB2312"/>
          <w:sz w:val="28"/>
          <w:szCs w:val="28"/>
          <w:u w:val="single" w:color="auto"/>
        </w:rPr>
        <w:t>送：福建省委组织部，省委教育工委</w:t>
      </w:r>
      <w:r>
        <w:rPr>
          <w:rFonts w:hint="eastAsia" w:ascii="仿宋_GB2312" w:eastAsia="仿宋_GB2312"/>
          <w:sz w:val="28"/>
          <w:szCs w:val="28"/>
          <w:u w:val="single" w:color="auto"/>
          <w:lang w:val="en-US" w:eastAsia="zh-CN"/>
        </w:rPr>
        <w:t xml:space="preserve">                        </w:t>
      </w:r>
      <w:r>
        <w:rPr>
          <w:rFonts w:hint="eastAsia" w:ascii="仿宋_GB2312" w:eastAsia="仿宋_GB2312"/>
          <w:sz w:val="28"/>
          <w:szCs w:val="28"/>
          <w:u w:val="single" w:color="auto"/>
        </w:rPr>
        <w:t xml:space="preserve">          </w:t>
      </w:r>
      <w:r>
        <w:rPr>
          <w:rFonts w:hint="eastAsia" w:ascii="仿宋_GB2312" w:eastAsia="仿宋_GB2312"/>
          <w:sz w:val="28"/>
          <w:szCs w:val="28"/>
          <w:u w:val="single" w:color="auto"/>
          <w:lang w:val="en-US" w:eastAsia="zh-CN"/>
        </w:rPr>
        <w:t xml:space="preserve">  </w:t>
      </w:r>
      <w:r>
        <w:rPr>
          <w:rFonts w:hint="eastAsia" w:ascii="仿宋_GB2312" w:eastAsia="仿宋_GB2312"/>
          <w:sz w:val="28"/>
          <w:szCs w:val="28"/>
          <w:u w:val="single" w:color="auto"/>
        </w:rPr>
        <w:t xml:space="preserve">   </w:t>
      </w:r>
      <w:r>
        <w:rPr>
          <w:rFonts w:hint="eastAsia" w:ascii="仿宋_GB2312" w:eastAsia="仿宋_GB2312"/>
          <w:sz w:val="28"/>
          <w:szCs w:val="28"/>
          <w:u w:val="none" w:color="auto"/>
        </w:rPr>
        <w:t xml:space="preserve">   </w:t>
      </w:r>
    </w:p>
    <w:p>
      <w:pPr>
        <w:keepNext w:val="0"/>
        <w:keepLines w:val="0"/>
        <w:pageBreakBefore w:val="0"/>
        <w:widowControl w:val="0"/>
        <w:kinsoku/>
        <w:wordWrap/>
        <w:overflowPunct/>
        <w:topLinePunct w:val="0"/>
        <w:autoSpaceDE/>
        <w:autoSpaceDN/>
        <w:bidi w:val="0"/>
        <w:adjustRightInd/>
        <w:spacing w:line="560" w:lineRule="exact"/>
        <w:ind w:right="-328" w:rightChars="-156"/>
        <w:textAlignment w:val="auto"/>
      </w:pPr>
      <w:r>
        <w:rPr>
          <w:rFonts w:hint="eastAsia" w:ascii="仿宋_GB2312" w:hAnsi="宋体" w:eastAsia="仿宋_GB2312"/>
          <w:color w:val="auto"/>
          <w:kern w:val="2"/>
          <w:sz w:val="28"/>
          <w:szCs w:val="28"/>
          <w:u w:val="thick" w:color="auto"/>
        </w:rPr>
        <w:t xml:space="preserve">  泉州师范学院党委办公室        </w:t>
      </w:r>
      <w:r>
        <w:rPr>
          <w:rFonts w:hint="eastAsia" w:ascii="仿宋_GB2312" w:hAnsi="宋体" w:eastAsia="仿宋_GB2312"/>
          <w:color w:val="auto"/>
          <w:kern w:val="2"/>
          <w:sz w:val="28"/>
          <w:szCs w:val="28"/>
          <w:u w:val="thick" w:color="auto"/>
          <w:lang w:val="en-US" w:eastAsia="zh-CN"/>
        </w:rPr>
        <w:t xml:space="preserve">        </w:t>
      </w:r>
      <w:r>
        <w:rPr>
          <w:rFonts w:hint="eastAsia" w:ascii="仿宋_GB2312" w:hAnsi="宋体" w:eastAsia="仿宋_GB2312"/>
          <w:color w:val="auto"/>
          <w:kern w:val="2"/>
          <w:sz w:val="28"/>
          <w:szCs w:val="28"/>
          <w:u w:val="thick" w:color="auto"/>
        </w:rPr>
        <w:t xml:space="preserve"> 2018年</w:t>
      </w:r>
      <w:r>
        <w:rPr>
          <w:rFonts w:hint="eastAsia" w:ascii="仿宋_GB2312" w:hAnsi="宋体" w:eastAsia="仿宋_GB2312"/>
          <w:color w:val="auto"/>
          <w:kern w:val="2"/>
          <w:sz w:val="28"/>
          <w:szCs w:val="28"/>
          <w:u w:val="thick" w:color="auto"/>
          <w:lang w:val="en-US" w:eastAsia="zh-CN"/>
        </w:rPr>
        <w:t>12</w:t>
      </w:r>
      <w:r>
        <w:rPr>
          <w:rFonts w:hint="eastAsia" w:ascii="仿宋_GB2312" w:hAnsi="宋体" w:eastAsia="仿宋_GB2312"/>
          <w:color w:val="auto"/>
          <w:kern w:val="2"/>
          <w:sz w:val="28"/>
          <w:szCs w:val="28"/>
          <w:u w:val="thick" w:color="auto"/>
        </w:rPr>
        <w:t>月</w:t>
      </w:r>
      <w:r>
        <w:rPr>
          <w:rFonts w:hint="eastAsia" w:ascii="仿宋_GB2312" w:hAnsi="宋体" w:eastAsia="仿宋_GB2312"/>
          <w:color w:val="auto"/>
          <w:kern w:val="2"/>
          <w:sz w:val="28"/>
          <w:szCs w:val="28"/>
          <w:u w:val="thick" w:color="auto"/>
          <w:lang w:val="en-US" w:eastAsia="zh-CN"/>
        </w:rPr>
        <w:t>28</w:t>
      </w:r>
      <w:r>
        <w:rPr>
          <w:rFonts w:hint="eastAsia" w:ascii="仿宋_GB2312" w:hAnsi="宋体" w:eastAsia="仿宋_GB2312"/>
          <w:color w:val="auto"/>
          <w:kern w:val="2"/>
          <w:sz w:val="28"/>
          <w:szCs w:val="28"/>
          <w:u w:val="thick" w:color="auto"/>
        </w:rPr>
        <w:t>日印发</w:t>
      </w:r>
      <w:r>
        <w:rPr>
          <w:rFonts w:hint="eastAsia" w:ascii="仿宋_GB2312" w:hAnsi="宋体" w:eastAsia="仿宋_GB2312"/>
          <w:color w:val="auto"/>
          <w:kern w:val="2"/>
          <w:sz w:val="28"/>
          <w:szCs w:val="28"/>
          <w:u w:val="thick" w:color="auto"/>
          <w:lang w:val="en-US" w:eastAsia="zh-CN"/>
        </w:rPr>
        <w:t xml:space="preserve">  </w:t>
      </w:r>
    </w:p>
    <w:p/>
    <w:sectPr>
      <w:headerReference r:id="rId3" w:type="default"/>
      <w:footerReference r:id="rId4" w:type="default"/>
      <w:footerReference r:id="rId5" w:type="even"/>
      <w:pgSz w:w="11906" w:h="16838"/>
      <w:pgMar w:top="2098" w:right="1474" w:bottom="1984" w:left="1587" w:header="851" w:footer="992" w:gutter="0"/>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sz w:val="28"/>
        <w:szCs w:val="28"/>
      </w:rPr>
    </w:pPr>
    <w:r>
      <w:rPr>
        <w:sz w:val="2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jc w:val="right"/>
                          </w:pP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w:t>
                          </w:r>
                          <w:r>
                            <w:rPr>
                              <w:sz w:val="28"/>
                              <w:szCs w:val="28"/>
                            </w:rPr>
                            <w:t xml:space="preserve"> 5 -</w:t>
                          </w:r>
                          <w:r>
                            <w:rPr>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jc w:val="right"/>
                    </w:pP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w:t>
                    </w:r>
                    <w:r>
                      <w:rPr>
                        <w:sz w:val="28"/>
                        <w:szCs w:val="28"/>
                      </w:rPr>
                      <w:t xml:space="preserve"> 5 -</w:t>
                    </w:r>
                    <w:r>
                      <w:rPr>
                        <w:sz w:val="28"/>
                        <w:szCs w:val="28"/>
                      </w:rPr>
                      <w:fldChar w:fldCharType="end"/>
                    </w:r>
                  </w:p>
                </w:txbxContent>
              </v:textbox>
            </v:shape>
          </w:pict>
        </mc:Fallback>
      </mc:AlternateContent>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sz w:val="28"/>
        <w:szCs w:val="28"/>
      </w:rPr>
    </w:pP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w:t>
    </w:r>
    <w:r>
      <w:rPr>
        <w:sz w:val="28"/>
        <w:szCs w:val="28"/>
      </w:rPr>
      <w:t xml:space="preserve"> 6 -</w:t>
    </w:r>
    <w:r>
      <w:rPr>
        <w:sz w:val="28"/>
        <w:szCs w:val="28"/>
      </w:rP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1304DA"/>
    <w:rsid w:val="161304DA"/>
    <w:rsid w:val="1846103F"/>
    <w:rsid w:val="192166A7"/>
    <w:rsid w:val="1DEE66E6"/>
    <w:rsid w:val="2A8D38FE"/>
    <w:rsid w:val="2C526685"/>
    <w:rsid w:val="318A1932"/>
    <w:rsid w:val="31F25212"/>
    <w:rsid w:val="331F4089"/>
    <w:rsid w:val="46D86DA2"/>
    <w:rsid w:val="47934546"/>
    <w:rsid w:val="4F277AA5"/>
    <w:rsid w:val="5E085E0B"/>
    <w:rsid w:val="645845DE"/>
    <w:rsid w:val="76B2470F"/>
    <w:rsid w:val="78705AD1"/>
    <w:rsid w:val="79846D28"/>
    <w:rsid w:val="7B6D40EB"/>
    <w:rsid w:val="7C4371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Times New Roman" w:cs="Times New Roman"/>
      <w:kern w:val="2"/>
      <w:sz w:val="21"/>
      <w:szCs w:val="24"/>
      <w:lang w:val="en-US" w:eastAsia="zh-CN" w:bidi="ar-SA"/>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102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2018-12-20T03:30:00Z</dcterms:created>
  <dc:creator>水木愚人</dc:creator>
  <cp:lastModifiedBy>吾静</cp:lastModifiedBy>
  <cp:lastPrinted>2018-12-28T08:59:00Z</cp:lastPrinted>
  <dcterms:modified xsi:type="dcterms:W3CDTF">2019-03-19T02:55:37Z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