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jc w:val="center"/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  <w:t>仪器评价考核汇总表</w:t>
      </w:r>
    </w:p>
    <w:p>
      <w:pPr>
        <w:jc w:val="both"/>
        <w:rPr>
          <w:rFonts w:hint="default" w:ascii="仿宋_GB2312" w:eastAsia="仿宋_GB2312"/>
          <w:lang w:val="en-US" w:eastAsia="zh-CN"/>
        </w:rPr>
      </w:pPr>
      <w:r>
        <w:rPr>
          <w:rFonts w:hint="eastAsia" w:ascii="仿宋_GB2312"/>
          <w:lang w:val="en-US" w:eastAsia="zh-CN"/>
        </w:rPr>
        <w:t xml:space="preserve">单位（盖章）：                  填报人：              日期：2023年11月  日           </w:t>
      </w:r>
    </w:p>
    <w:tbl>
      <w:tblPr>
        <w:tblStyle w:val="4"/>
        <w:tblW w:w="4485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7"/>
        <w:gridCol w:w="1211"/>
        <w:gridCol w:w="1009"/>
        <w:gridCol w:w="963"/>
        <w:gridCol w:w="1056"/>
        <w:gridCol w:w="982"/>
        <w:gridCol w:w="1056"/>
        <w:gridCol w:w="1053"/>
        <w:gridCol w:w="1063"/>
        <w:gridCol w:w="1030"/>
        <w:gridCol w:w="1338"/>
        <w:gridCol w:w="12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2" w:hRule="atLeast"/>
        </w:trPr>
        <w:tc>
          <w:tcPr>
            <w:tcW w:w="233" w:type="pct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kern w:val="0"/>
                <w:sz w:val="28"/>
                <w:szCs w:val="28"/>
              </w:rPr>
              <w:t>序号</w:t>
            </w:r>
          </w:p>
        </w:tc>
        <w:tc>
          <w:tcPr>
            <w:tcW w:w="480" w:type="pct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kern w:val="0"/>
                <w:sz w:val="28"/>
                <w:szCs w:val="28"/>
              </w:rPr>
              <w:t>仪器</w:t>
            </w:r>
            <w:bookmarkStart w:id="0" w:name="_GoBack"/>
            <w:bookmarkEnd w:id="0"/>
          </w:p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kern w:val="0"/>
                <w:sz w:val="28"/>
                <w:szCs w:val="28"/>
              </w:rPr>
              <w:t>名称</w:t>
            </w:r>
          </w:p>
        </w:tc>
        <w:tc>
          <w:tcPr>
            <w:tcW w:w="400" w:type="pct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</w:rPr>
              <w:t>本次考核周期总机时数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</w:rPr>
              <w:t>(小时)</w:t>
            </w:r>
          </w:p>
        </w:tc>
        <w:tc>
          <w:tcPr>
            <w:tcW w:w="382" w:type="pct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</w:rPr>
              <w:t>对外服务样品总数(件)</w:t>
            </w:r>
          </w:p>
        </w:tc>
        <w:tc>
          <w:tcPr>
            <w:tcW w:w="418" w:type="pct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</w:rPr>
              <w:t>对台企服务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</w:rPr>
              <w:t>样品数（件）</w:t>
            </w:r>
          </w:p>
        </w:tc>
        <w:tc>
          <w:tcPr>
            <w:tcW w:w="389" w:type="pct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</w:rPr>
              <w:t>原值是否5</w:t>
            </w:r>
            <w:r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</w:rPr>
              <w:t>00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</w:rPr>
              <w:t>万元以上</w:t>
            </w:r>
          </w:p>
        </w:tc>
        <w:tc>
          <w:tcPr>
            <w:tcW w:w="418" w:type="pct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</w:rPr>
              <w:t>服务科技创新样品数（件）</w:t>
            </w:r>
          </w:p>
        </w:tc>
        <w:tc>
          <w:tcPr>
            <w:tcW w:w="417" w:type="pct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</w:rPr>
              <w:t>是否非财政资金购置仪器</w:t>
            </w:r>
          </w:p>
        </w:tc>
        <w:tc>
          <w:tcPr>
            <w:tcW w:w="421" w:type="pct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</w:rPr>
              <w:t>管理团队高级职称人数</w:t>
            </w:r>
          </w:p>
        </w:tc>
        <w:tc>
          <w:tcPr>
            <w:tcW w:w="408" w:type="pct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</w:rPr>
              <w:t>管理团队中级职称人数</w:t>
            </w:r>
          </w:p>
        </w:tc>
        <w:tc>
          <w:tcPr>
            <w:tcW w:w="530" w:type="pct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</w:rPr>
              <w:t>管理团队初级及以下级职称人数</w:t>
            </w:r>
          </w:p>
        </w:tc>
        <w:tc>
          <w:tcPr>
            <w:tcW w:w="497" w:type="pct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</w:rPr>
              <w:t>本单位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</w:rPr>
              <w:t>仪器编号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233" w:type="pct"/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80" w:type="pct"/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仿宋_GB2312" w:cs="仿宋_GB2312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cs="仿宋_GB2312"/>
                <w:color w:val="333333"/>
                <w:kern w:val="0"/>
                <w:sz w:val="20"/>
                <w:szCs w:val="20"/>
              </w:rPr>
              <w:t>　</w:t>
            </w:r>
          </w:p>
        </w:tc>
        <w:tc>
          <w:tcPr>
            <w:tcW w:w="400" w:type="pct"/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仿宋_GB2312" w:cs="仿宋_GB2312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cs="仿宋_GB2312"/>
                <w:color w:val="333333"/>
                <w:kern w:val="0"/>
                <w:sz w:val="20"/>
                <w:szCs w:val="20"/>
              </w:rPr>
              <w:t>　</w:t>
            </w:r>
          </w:p>
        </w:tc>
        <w:tc>
          <w:tcPr>
            <w:tcW w:w="382" w:type="pct"/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仿宋_GB2312" w:cs="仿宋_GB2312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cs="仿宋_GB2312"/>
                <w:color w:val="333333"/>
                <w:kern w:val="0"/>
                <w:sz w:val="20"/>
                <w:szCs w:val="20"/>
              </w:rPr>
              <w:t>　</w:t>
            </w:r>
          </w:p>
        </w:tc>
        <w:tc>
          <w:tcPr>
            <w:tcW w:w="418" w:type="pct"/>
            <w:noWrap w:val="0"/>
            <w:vAlign w:val="top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仿宋_GB2312" w:cs="仿宋_GB2312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389" w:type="pct"/>
            <w:noWrap w:val="0"/>
            <w:vAlign w:val="top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仿宋_GB2312" w:cs="仿宋_GB2312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418" w:type="pct"/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仿宋_GB2312" w:cs="仿宋_GB2312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cs="仿宋_GB2312"/>
                <w:color w:val="333333"/>
                <w:kern w:val="0"/>
                <w:sz w:val="20"/>
                <w:szCs w:val="20"/>
              </w:rPr>
              <w:t>　</w:t>
            </w:r>
          </w:p>
        </w:tc>
        <w:tc>
          <w:tcPr>
            <w:tcW w:w="417" w:type="pct"/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仿宋_GB2312" w:cs="仿宋_GB2312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cs="仿宋_GB2312"/>
                <w:color w:val="333333"/>
                <w:kern w:val="0"/>
                <w:sz w:val="20"/>
                <w:szCs w:val="20"/>
              </w:rPr>
              <w:t>　</w:t>
            </w:r>
          </w:p>
        </w:tc>
        <w:tc>
          <w:tcPr>
            <w:tcW w:w="421" w:type="pct"/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仿宋_GB2312" w:cs="仿宋_GB2312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cs="仿宋_GB2312"/>
                <w:color w:val="333333"/>
                <w:kern w:val="0"/>
                <w:sz w:val="20"/>
                <w:szCs w:val="20"/>
              </w:rPr>
              <w:t>　</w:t>
            </w:r>
          </w:p>
        </w:tc>
        <w:tc>
          <w:tcPr>
            <w:tcW w:w="408" w:type="pct"/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仿宋_GB2312" w:cs="仿宋_GB2312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cs="仿宋_GB2312"/>
                <w:color w:val="333333"/>
                <w:kern w:val="0"/>
                <w:sz w:val="20"/>
                <w:szCs w:val="20"/>
              </w:rPr>
              <w:t>　</w:t>
            </w:r>
          </w:p>
        </w:tc>
        <w:tc>
          <w:tcPr>
            <w:tcW w:w="530" w:type="pct"/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仿宋_GB2312" w:cs="仿宋_GB2312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cs="仿宋_GB2312"/>
                <w:color w:val="333333"/>
                <w:kern w:val="0"/>
                <w:sz w:val="20"/>
                <w:szCs w:val="20"/>
              </w:rPr>
              <w:t>　</w:t>
            </w:r>
          </w:p>
        </w:tc>
        <w:tc>
          <w:tcPr>
            <w:tcW w:w="497" w:type="pct"/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仿宋_GB2312" w:cs="仿宋_GB2312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cs="仿宋_GB2312"/>
                <w:color w:val="333333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233" w:type="pct"/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80" w:type="pct"/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  <w:tc>
          <w:tcPr>
            <w:tcW w:w="400" w:type="pct"/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  <w:tc>
          <w:tcPr>
            <w:tcW w:w="382" w:type="pct"/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  <w:tc>
          <w:tcPr>
            <w:tcW w:w="418" w:type="pct"/>
            <w:noWrap w:val="0"/>
            <w:vAlign w:val="top"/>
          </w:tcPr>
          <w:p>
            <w:pPr>
              <w:widowControl/>
              <w:spacing w:line="600" w:lineRule="exac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389" w:type="pct"/>
            <w:noWrap w:val="0"/>
            <w:vAlign w:val="top"/>
          </w:tcPr>
          <w:p>
            <w:pPr>
              <w:widowControl/>
              <w:spacing w:line="600" w:lineRule="exac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418" w:type="pct"/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  <w:tc>
          <w:tcPr>
            <w:tcW w:w="417" w:type="pct"/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  <w:tc>
          <w:tcPr>
            <w:tcW w:w="421" w:type="pct"/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  <w:tc>
          <w:tcPr>
            <w:tcW w:w="408" w:type="pct"/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  <w:tc>
          <w:tcPr>
            <w:tcW w:w="530" w:type="pct"/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  <w:tc>
          <w:tcPr>
            <w:tcW w:w="497" w:type="pct"/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233" w:type="pct"/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80" w:type="pct"/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  <w:tc>
          <w:tcPr>
            <w:tcW w:w="400" w:type="pct"/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  <w:tc>
          <w:tcPr>
            <w:tcW w:w="382" w:type="pct"/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  <w:tc>
          <w:tcPr>
            <w:tcW w:w="418" w:type="pct"/>
            <w:noWrap w:val="0"/>
            <w:vAlign w:val="top"/>
          </w:tcPr>
          <w:p>
            <w:pPr>
              <w:widowControl/>
              <w:spacing w:line="600" w:lineRule="exac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389" w:type="pct"/>
            <w:noWrap w:val="0"/>
            <w:vAlign w:val="top"/>
          </w:tcPr>
          <w:p>
            <w:pPr>
              <w:widowControl/>
              <w:spacing w:line="600" w:lineRule="exac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418" w:type="pct"/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  <w:tc>
          <w:tcPr>
            <w:tcW w:w="417" w:type="pct"/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  <w:tc>
          <w:tcPr>
            <w:tcW w:w="421" w:type="pct"/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  <w:tc>
          <w:tcPr>
            <w:tcW w:w="408" w:type="pct"/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  <w:tc>
          <w:tcPr>
            <w:tcW w:w="530" w:type="pct"/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  <w:tc>
          <w:tcPr>
            <w:tcW w:w="497" w:type="pct"/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233" w:type="pct"/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80" w:type="pct"/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  <w:tc>
          <w:tcPr>
            <w:tcW w:w="400" w:type="pct"/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  <w:tc>
          <w:tcPr>
            <w:tcW w:w="382" w:type="pct"/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  <w:tc>
          <w:tcPr>
            <w:tcW w:w="418" w:type="pct"/>
            <w:noWrap w:val="0"/>
            <w:vAlign w:val="top"/>
          </w:tcPr>
          <w:p>
            <w:pPr>
              <w:widowControl/>
              <w:spacing w:line="600" w:lineRule="exac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389" w:type="pct"/>
            <w:noWrap w:val="0"/>
            <w:vAlign w:val="top"/>
          </w:tcPr>
          <w:p>
            <w:pPr>
              <w:widowControl/>
              <w:spacing w:line="600" w:lineRule="exac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418" w:type="pct"/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  <w:tc>
          <w:tcPr>
            <w:tcW w:w="417" w:type="pct"/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  <w:tc>
          <w:tcPr>
            <w:tcW w:w="421" w:type="pct"/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  <w:tc>
          <w:tcPr>
            <w:tcW w:w="408" w:type="pct"/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  <w:tc>
          <w:tcPr>
            <w:tcW w:w="530" w:type="pct"/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  <w:tc>
          <w:tcPr>
            <w:tcW w:w="497" w:type="pct"/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</w:tr>
    </w:tbl>
    <w:p>
      <w:pPr>
        <w:rPr>
          <w:rFonts w:hint="eastAsia" w:ascii="仿宋" w:hAnsi="仿宋" w:eastAsia="仿宋"/>
          <w:bCs/>
          <w:szCs w:val="32"/>
        </w:rPr>
      </w:pPr>
      <w:r>
        <w:rPr>
          <w:rFonts w:hint="eastAsia" w:ascii="仿宋" w:hAnsi="仿宋" w:eastAsia="仿宋"/>
          <w:bCs/>
          <w:szCs w:val="32"/>
        </w:rPr>
        <w:t>注：</w:t>
      </w:r>
    </w:p>
    <w:p>
      <w:pPr>
        <w:spacing w:line="560" w:lineRule="exact"/>
        <w:rPr>
          <w:rFonts w:ascii="仿宋" w:hAnsi="仿宋" w:eastAsia="仿宋"/>
          <w:bCs/>
          <w:szCs w:val="32"/>
        </w:rPr>
      </w:pPr>
      <w:r>
        <w:rPr>
          <w:rFonts w:hint="eastAsia" w:ascii="仿宋" w:hAnsi="仿宋" w:eastAsia="仿宋"/>
          <w:bCs/>
          <w:szCs w:val="32"/>
        </w:rPr>
        <w:t>1</w:t>
      </w:r>
      <w:r>
        <w:rPr>
          <w:rFonts w:ascii="仿宋" w:hAnsi="仿宋" w:eastAsia="仿宋"/>
          <w:bCs/>
          <w:szCs w:val="32"/>
        </w:rPr>
        <w:t>.</w:t>
      </w:r>
      <w:r>
        <w:rPr>
          <w:rFonts w:hint="eastAsia" w:ascii="仿宋" w:hAnsi="仿宋" w:eastAsia="仿宋"/>
          <w:bCs/>
          <w:szCs w:val="32"/>
        </w:rPr>
        <w:t>汇总数据应与申报表中数据一致</w:t>
      </w:r>
      <w:r>
        <w:rPr>
          <w:rFonts w:hint="eastAsia" w:ascii="仿宋_GB2312" w:hAnsi="仿宋"/>
          <w:bCs/>
          <w:sz w:val="30"/>
          <w:szCs w:val="30"/>
        </w:rPr>
        <w:t>；</w:t>
      </w:r>
    </w:p>
    <w:p>
      <w:pPr>
        <w:spacing w:line="560" w:lineRule="exact"/>
        <w:rPr>
          <w:rFonts w:ascii="仿宋" w:hAnsi="仿宋" w:eastAsia="仿宋"/>
          <w:bCs/>
          <w:szCs w:val="32"/>
        </w:rPr>
      </w:pPr>
      <w:r>
        <w:rPr>
          <w:rFonts w:hint="eastAsia" w:ascii="仿宋" w:hAnsi="仿宋" w:eastAsia="仿宋"/>
          <w:bCs/>
          <w:szCs w:val="32"/>
        </w:rPr>
        <w:t>2</w:t>
      </w:r>
      <w:r>
        <w:rPr>
          <w:rFonts w:ascii="仿宋" w:hAnsi="仿宋" w:eastAsia="仿宋"/>
          <w:bCs/>
          <w:szCs w:val="32"/>
        </w:rPr>
        <w:t>.</w:t>
      </w:r>
      <w:r>
        <w:rPr>
          <w:rFonts w:hint="eastAsia" w:ascii="仿宋" w:hAnsi="仿宋" w:eastAsia="仿宋"/>
          <w:bCs/>
          <w:szCs w:val="32"/>
        </w:rPr>
        <w:t>纳入财政预算管理的事业单位“是否非财政资金购置仪器”栏均填否；</w:t>
      </w:r>
      <w:r>
        <w:rPr>
          <w:rFonts w:ascii="仿宋" w:hAnsi="仿宋" w:eastAsia="仿宋"/>
          <w:bCs/>
          <w:szCs w:val="32"/>
        </w:rPr>
        <w:t xml:space="preserve"> </w:t>
      </w:r>
    </w:p>
    <w:p>
      <w:pPr>
        <w:snapToGrid w:val="0"/>
        <w:spacing w:line="560" w:lineRule="exact"/>
      </w:pPr>
      <w:r>
        <w:rPr>
          <w:rFonts w:hint="eastAsia" w:ascii="仿宋_GB2312" w:hAnsi="仿宋"/>
          <w:bCs/>
          <w:sz w:val="30"/>
          <w:szCs w:val="30"/>
        </w:rPr>
        <w:t>3</w:t>
      </w:r>
      <w:r>
        <w:rPr>
          <w:rFonts w:ascii="仿宋_GB2312" w:hAnsi="仿宋"/>
          <w:bCs/>
          <w:sz w:val="30"/>
          <w:szCs w:val="30"/>
        </w:rPr>
        <w:t>.</w:t>
      </w:r>
      <w:r>
        <w:rPr>
          <w:rFonts w:hint="eastAsia" w:ascii="仿宋_GB2312" w:hAnsi="仿宋"/>
          <w:bCs/>
          <w:sz w:val="30"/>
          <w:szCs w:val="30"/>
        </w:rPr>
        <w:t>“服务科技创新样品数”为该仪器评价考核申报表“五、服务科技创新贡献情况”中服务样品数的总和。</w:t>
      </w:r>
    </w:p>
    <w:sectPr>
      <w:headerReference r:id="rId3" w:type="default"/>
      <w:footerReference r:id="rId4" w:type="default"/>
      <w:pgSz w:w="16838" w:h="11906" w:orient="landscape"/>
      <w:pgMar w:top="1587" w:right="1417" w:bottom="1417" w:left="1587" w:header="851" w:footer="956" w:gutter="0"/>
      <w:pgNumType w:fmt="numberInDash"/>
      <w:cols w:space="720" w:num="1"/>
      <w:docGrid w:type="lines" w:linePitch="57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  <w:rFonts w:ascii="宋体" w:hAnsi="宋体" w:eastAsia="宋体"/>
        <w:sz w:val="28"/>
        <w:szCs w:val="28"/>
      </w:rPr>
    </w:pPr>
    <w:r>
      <w:rPr>
        <w:rFonts w:ascii="宋体" w:hAnsi="宋体" w:eastAsia="宋体"/>
        <w:sz w:val="28"/>
        <w:szCs w:val="28"/>
      </w:rPr>
      <w:fldChar w:fldCharType="begin"/>
    </w:r>
    <w:r>
      <w:rPr>
        <w:rStyle w:val="6"/>
        <w:rFonts w:ascii="宋体" w:hAnsi="宋体" w:eastAsia="宋体"/>
        <w:sz w:val="28"/>
        <w:szCs w:val="28"/>
      </w:rPr>
      <w:instrText xml:space="preserve">PAGE  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Style w:val="6"/>
        <w:rFonts w:ascii="宋体" w:hAnsi="宋体" w:eastAsia="宋体"/>
        <w:sz w:val="28"/>
        <w:szCs w:val="28"/>
      </w:rPr>
      <w:t>- 4 -</w:t>
    </w:r>
    <w:r>
      <w:rPr>
        <w:rFonts w:ascii="宋体" w:hAnsi="宋体" w:eastAsia="宋体"/>
        <w:sz w:val="28"/>
        <w:szCs w:val="28"/>
      </w:rPr>
      <w:fldChar w:fldCharType="end"/>
    </w:r>
  </w:p>
  <w:p>
    <w:pPr>
      <w:pStyle w:val="2"/>
      <w:ind w:right="360" w:firstLine="360"/>
      <w:jc w:val="center"/>
      <w:rPr>
        <w:rFonts w:hint="eastAsia"/>
        <w:sz w:val="28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BiNzljY2RmZWM3YzcyMzJiNmM1ZWJhYWE2NGUwZTIifQ=="/>
  </w:docVars>
  <w:rsids>
    <w:rsidRoot w:val="03D2539A"/>
    <w:rsid w:val="03D2539A"/>
    <w:rsid w:val="302B7EAC"/>
    <w:rsid w:val="508C7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252</Words>
  <Characters>277</Characters>
  <Lines>0</Lines>
  <Paragraphs>0</Paragraphs>
  <TotalTime>0</TotalTime>
  <ScaleCrop>false</ScaleCrop>
  <LinksUpToDate>false</LinksUpToDate>
  <CharactersWithSpaces>324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2023-11-20T08:50:00Z</dcterms:created>
  <dc:creator>Zzzzzz</dc:creator>
  <cp:lastModifiedBy>翡冷翠</cp:lastModifiedBy>
  <dcterms:modified xsi:type="dcterms:W3CDTF">2023-11-22T01:41:55Z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21CEF9EB019D461D9F2911E1684256D8_13</vt:lpwstr>
  </property>
</Properties>
</file>