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72"/>
        <w:rPr>
          <w:rFonts w:hint="eastAsia" w:ascii="宋体" w:hAnsi="宋体"/>
          <w:b/>
          <w:color w:val="auto"/>
          <w:w w:val="150"/>
          <w:sz w:val="52"/>
          <w:highlight w:val="none"/>
        </w:rPr>
      </w:pPr>
    </w:p>
    <w:p>
      <w:pPr>
        <w:spacing w:before="313" w:beforeLines="100" w:line="2000" w:lineRule="exact"/>
        <w:jc w:val="center"/>
        <w:rPr>
          <w:rFonts w:hint="eastAsia" w:ascii="宋体" w:hAnsi="宋体"/>
          <w:b/>
          <w:bCs/>
          <w:color w:val="auto"/>
          <w:spacing w:val="-100"/>
          <w:sz w:val="108"/>
          <w:szCs w:val="108"/>
          <w:highlight w:val="none"/>
        </w:rPr>
      </w:pPr>
      <w:r>
        <w:rPr>
          <w:rFonts w:hint="eastAsia" w:ascii="宋体" w:hAnsi="宋体"/>
          <w:b/>
          <w:bCs/>
          <w:color w:val="auto"/>
          <w:spacing w:val="-100"/>
          <w:sz w:val="108"/>
          <w:szCs w:val="108"/>
          <w:highlight w:val="none"/>
        </w:rPr>
        <w:t>询 价 文 件</w:t>
      </w:r>
    </w:p>
    <w:p>
      <w:pPr>
        <w:rPr>
          <w:rFonts w:hint="eastAsia" w:ascii="宋体" w:hAnsi="宋体"/>
          <w:b/>
          <w:bCs/>
          <w:color w:val="auto"/>
          <w:sz w:val="48"/>
          <w:szCs w:val="48"/>
          <w:highlight w:val="none"/>
        </w:rPr>
      </w:pPr>
    </w:p>
    <w:p>
      <w:pPr>
        <w:rPr>
          <w:rFonts w:hint="eastAsia" w:ascii="宋体" w:hAnsi="宋体"/>
          <w:color w:val="auto"/>
          <w:sz w:val="24"/>
          <w:highlight w:val="none"/>
        </w:rPr>
      </w:pPr>
    </w:p>
    <w:p>
      <w:pPr>
        <w:tabs>
          <w:tab w:val="left" w:pos="1140"/>
        </w:tabs>
        <w:ind w:firstLine="1510" w:firstLineChars="472"/>
        <w:rPr>
          <w:rFonts w:ascii="宋体" w:hAnsi="宋体"/>
          <w:color w:val="auto"/>
          <w:sz w:val="32"/>
          <w:highlight w:val="none"/>
        </w:rPr>
      </w:pPr>
    </w:p>
    <w:p>
      <w:pPr>
        <w:pStyle w:val="14"/>
        <w:rPr>
          <w:color w:val="auto"/>
          <w:highlight w:val="none"/>
        </w:rPr>
      </w:pPr>
    </w:p>
    <w:p>
      <w:pPr>
        <w:rPr>
          <w:color w:val="auto"/>
          <w:highlight w:val="none"/>
        </w:rPr>
      </w:pPr>
    </w:p>
    <w:p>
      <w:pPr>
        <w:spacing w:line="360" w:lineRule="auto"/>
        <w:ind w:firstLine="1446" w:firstLineChars="400"/>
        <w:rPr>
          <w:rFonts w:hint="default" w:ascii="宋体" w:hAnsi="宋体"/>
          <w:color w:val="auto"/>
          <w:sz w:val="32"/>
          <w:highlight w:val="none"/>
          <w:lang w:val="en-US"/>
        </w:rPr>
      </w:pPr>
      <w:r>
        <w:rPr>
          <w:rFonts w:hint="eastAsia" w:ascii="宋体" w:hAnsi="宋体"/>
          <w:b/>
          <w:color w:val="auto"/>
          <w:sz w:val="36"/>
          <w:szCs w:val="36"/>
          <w:highlight w:val="none"/>
        </w:rPr>
        <w:t>采购编号：</w:t>
      </w:r>
      <w:r>
        <w:rPr>
          <w:rFonts w:hint="eastAsia" w:ascii="宋体" w:hAnsi="宋体" w:cs="Arial"/>
          <w:b/>
          <w:color w:val="FF0000"/>
          <w:sz w:val="36"/>
          <w:szCs w:val="36"/>
          <w:highlight w:val="none"/>
          <w:u w:val="single"/>
          <w:lang w:val="en-US" w:eastAsia="zh-CN"/>
        </w:rPr>
        <w:t xml:space="preserve">202302  </w:t>
      </w:r>
      <w:r>
        <w:rPr>
          <w:rFonts w:hint="eastAsia" w:ascii="宋体" w:hAnsi="宋体" w:cs="Arial"/>
          <w:b/>
          <w:color w:val="auto"/>
          <w:sz w:val="36"/>
          <w:szCs w:val="36"/>
          <w:highlight w:val="none"/>
          <w:u w:val="single"/>
          <w:lang w:val="en-US" w:eastAsia="zh-CN"/>
        </w:rPr>
        <w:t xml:space="preserve">  </w:t>
      </w:r>
    </w:p>
    <w:p>
      <w:pPr>
        <w:ind w:firstLine="1446" w:firstLineChars="400"/>
        <w:jc w:val="both"/>
        <w:rPr>
          <w:rFonts w:hint="default" w:ascii="宋体" w:hAnsi="宋体" w:eastAsia="宋体" w:cs="Arial"/>
          <w:b/>
          <w:color w:val="auto"/>
          <w:sz w:val="36"/>
          <w:szCs w:val="36"/>
          <w:highlight w:val="none"/>
          <w:u w:val="single"/>
          <w:lang w:val="en-US" w:eastAsia="zh-CN"/>
        </w:rPr>
      </w:pPr>
      <w:r>
        <w:rPr>
          <w:rFonts w:hint="eastAsia" w:ascii="宋体" w:hAnsi="宋体"/>
          <w:b/>
          <w:color w:val="auto"/>
          <w:sz w:val="36"/>
          <w:szCs w:val="36"/>
          <w:highlight w:val="none"/>
        </w:rPr>
        <w:t>项目名称：</w:t>
      </w:r>
      <w:r>
        <w:rPr>
          <w:rFonts w:hint="eastAsia" w:ascii="宋体" w:hAnsi="宋体"/>
          <w:b/>
          <w:color w:val="auto"/>
          <w:sz w:val="36"/>
          <w:szCs w:val="36"/>
          <w:highlight w:val="none"/>
          <w:u w:val="single"/>
          <w:lang w:val="en-US" w:eastAsia="zh-CN"/>
        </w:rPr>
        <w:t xml:space="preserve">  数字功率测试仪等竞赛用设备                    </w:t>
      </w:r>
    </w:p>
    <w:p>
      <w:pPr>
        <w:rPr>
          <w:rFonts w:hint="eastAsia" w:ascii="宋体" w:hAnsi="宋体"/>
          <w:color w:val="auto"/>
          <w:sz w:val="24"/>
          <w:highlight w:val="none"/>
        </w:rPr>
      </w:pPr>
    </w:p>
    <w:p>
      <w:pPr>
        <w:rPr>
          <w:rFonts w:hint="eastAsia" w:ascii="宋体" w:hAnsi="宋体"/>
          <w:color w:val="auto"/>
          <w:highlight w:val="none"/>
        </w:rPr>
      </w:pPr>
    </w:p>
    <w:p>
      <w:pPr>
        <w:rPr>
          <w:rFonts w:hint="eastAsia" w:ascii="宋体" w:hAnsi="宋体"/>
          <w:color w:val="auto"/>
          <w:highlight w:val="none"/>
        </w:rPr>
      </w:pPr>
    </w:p>
    <w:p>
      <w:pPr>
        <w:rPr>
          <w:rFonts w:ascii="宋体" w:hAnsi="宋体"/>
          <w:color w:val="auto"/>
          <w:highlight w:val="none"/>
        </w:rPr>
      </w:pPr>
    </w:p>
    <w:p>
      <w:pPr>
        <w:ind w:firstLine="1792" w:firstLineChars="498"/>
        <w:rPr>
          <w:rFonts w:hint="eastAsia" w:ascii="宋体" w:hAnsi="宋体"/>
          <w:color w:val="auto"/>
          <w:sz w:val="36"/>
          <w:highlight w:val="none"/>
        </w:rPr>
      </w:pPr>
    </w:p>
    <w:p>
      <w:pPr>
        <w:pStyle w:val="14"/>
        <w:rPr>
          <w:rFonts w:hint="eastAsia"/>
          <w:color w:val="auto"/>
          <w:highlight w:val="none"/>
        </w:rPr>
      </w:pPr>
    </w:p>
    <w:p>
      <w:pPr>
        <w:rPr>
          <w:rFonts w:hint="eastAsia" w:ascii="宋体" w:hAnsi="宋体"/>
          <w:color w:val="auto"/>
          <w:sz w:val="36"/>
          <w:highlight w:val="none"/>
        </w:rPr>
      </w:pPr>
    </w:p>
    <w:p>
      <w:pPr>
        <w:ind w:firstLine="2530" w:firstLineChars="700"/>
        <w:jc w:val="both"/>
        <w:outlineLvl w:val="9"/>
        <w:rPr>
          <w:rFonts w:hint="default" w:ascii="宋体" w:hAnsi="宋体" w:eastAsia="宋体"/>
          <w:b/>
          <w:color w:val="auto"/>
          <w:sz w:val="36"/>
          <w:szCs w:val="36"/>
          <w:highlight w:val="none"/>
          <w:u w:val="single"/>
          <w:lang w:val="en-US" w:eastAsia="zh-CN"/>
        </w:rPr>
      </w:pPr>
      <w:r>
        <w:rPr>
          <w:rFonts w:hint="eastAsia" w:ascii="宋体" w:hAnsi="宋体"/>
          <w:b/>
          <w:color w:val="auto"/>
          <w:sz w:val="36"/>
          <w:szCs w:val="36"/>
          <w:highlight w:val="none"/>
          <w:lang w:val="en-US" w:eastAsia="zh-CN"/>
        </w:rPr>
        <w:t>泉州师范学院</w:t>
      </w:r>
      <w:r>
        <w:rPr>
          <w:rFonts w:hint="eastAsia" w:ascii="宋体" w:hAnsi="宋体"/>
          <w:b/>
          <w:color w:val="FF0000"/>
          <w:sz w:val="36"/>
          <w:szCs w:val="36"/>
          <w:highlight w:val="none"/>
          <w:u w:val="single"/>
          <w:lang w:val="en-US" w:eastAsia="zh-CN"/>
        </w:rPr>
        <w:t>（物理与信息工程学院）</w:t>
      </w:r>
    </w:p>
    <w:p>
      <w:pPr>
        <w:spacing w:before="313" w:beforeLines="100" w:after="313" w:afterLines="100" w:line="360" w:lineRule="exact"/>
        <w:jc w:val="center"/>
        <w:rPr>
          <w:rFonts w:hint="eastAsia" w:ascii="宋体" w:hAnsi="宋体"/>
          <w:b/>
          <w:color w:val="auto"/>
          <w:sz w:val="36"/>
          <w:szCs w:val="36"/>
          <w:highlight w:val="none"/>
        </w:rPr>
        <w:sectPr>
          <w:headerReference r:id="rId3" w:type="default"/>
          <w:footerReference r:id="rId4" w:type="default"/>
          <w:footerReference r:id="rId5" w:type="even"/>
          <w:pgSz w:w="11906" w:h="16838"/>
          <w:pgMar w:top="1134" w:right="1134" w:bottom="851" w:left="1247" w:header="567" w:footer="567" w:gutter="0"/>
          <w:pgBorders>
            <w:top w:val="none" w:sz="0" w:space="0"/>
            <w:left w:val="none" w:sz="0" w:space="0"/>
            <w:bottom w:val="none" w:sz="0" w:space="0"/>
            <w:right w:val="none" w:sz="0" w:space="0"/>
          </w:pgBorders>
          <w:pgNumType w:fmt="decimal" w:start="0"/>
          <w:cols w:space="720" w:num="1"/>
          <w:titlePg/>
          <w:docGrid w:type="lines" w:linePitch="312" w:charSpace="0"/>
        </w:sectPr>
      </w:pPr>
      <w:r>
        <w:rPr>
          <w:rFonts w:hint="eastAsia" w:ascii="宋体" w:hAnsi="宋体"/>
          <w:b/>
          <w:color w:val="auto"/>
          <w:sz w:val="36"/>
          <w:szCs w:val="36"/>
          <w:highlight w:val="none"/>
          <w:lang w:val="en-US" w:eastAsia="zh-CN"/>
        </w:rPr>
        <w:t>2023</w:t>
      </w:r>
      <w:r>
        <w:rPr>
          <w:rFonts w:hint="eastAsia" w:ascii="宋体" w:hAnsi="宋体"/>
          <w:b/>
          <w:color w:val="auto"/>
          <w:sz w:val="36"/>
          <w:szCs w:val="36"/>
          <w:highlight w:val="none"/>
        </w:rPr>
        <w:t>年</w:t>
      </w:r>
      <w:r>
        <w:rPr>
          <w:rFonts w:hint="eastAsia" w:ascii="宋体" w:hAnsi="宋体"/>
          <w:b/>
          <w:color w:val="auto"/>
          <w:sz w:val="36"/>
          <w:szCs w:val="36"/>
          <w:highlight w:val="none"/>
          <w:lang w:val="en-US" w:eastAsia="zh-CN"/>
        </w:rPr>
        <w:t xml:space="preserve"> 11 </w:t>
      </w:r>
      <w:r>
        <w:rPr>
          <w:rFonts w:hint="eastAsia" w:ascii="宋体" w:hAnsi="宋体"/>
          <w:b/>
          <w:color w:val="auto"/>
          <w:sz w:val="36"/>
          <w:szCs w:val="36"/>
          <w:highlight w:val="none"/>
        </w:rPr>
        <w:t>月</w:t>
      </w:r>
    </w:p>
    <w:p>
      <w:pPr>
        <w:pStyle w:val="23"/>
        <w:rPr>
          <w:rFonts w:hint="eastAsia"/>
        </w:rPr>
      </w:pPr>
    </w:p>
    <w:p>
      <w:pPr>
        <w:spacing w:before="313" w:beforeLines="100" w:after="313" w:afterLines="100" w:line="360" w:lineRule="exact"/>
        <w:jc w:val="center"/>
        <w:rPr>
          <w:rFonts w:hint="eastAsia" w:ascii="宋体" w:hAnsi="宋体"/>
          <w:b/>
          <w:color w:val="auto"/>
          <w:sz w:val="36"/>
          <w:szCs w:val="36"/>
          <w:highlight w:val="none"/>
        </w:rPr>
      </w:pPr>
      <w:r>
        <w:rPr>
          <w:rFonts w:hint="eastAsia" w:ascii="宋体" w:hAnsi="宋体"/>
          <w:b/>
          <w:color w:val="auto"/>
          <w:spacing w:val="400"/>
          <w:sz w:val="36"/>
          <w:szCs w:val="36"/>
          <w:highlight w:val="none"/>
        </w:rPr>
        <w:t>目</w:t>
      </w:r>
      <w:r>
        <w:rPr>
          <w:rFonts w:hint="eastAsia" w:ascii="宋体" w:hAnsi="宋体"/>
          <w:b/>
          <w:color w:val="auto"/>
          <w:sz w:val="36"/>
          <w:szCs w:val="36"/>
          <w:highlight w:val="none"/>
        </w:rPr>
        <w:t>录</w:t>
      </w:r>
    </w:p>
    <w:sdt>
      <w:sdtPr>
        <w:rPr>
          <w:rFonts w:ascii="宋体" w:hAnsi="宋体" w:eastAsia="宋体" w:cs="Times New Roman"/>
          <w:color w:val="auto"/>
          <w:kern w:val="2"/>
          <w:sz w:val="21"/>
          <w:szCs w:val="24"/>
          <w:highlight w:val="none"/>
          <w:lang w:val="en-US" w:eastAsia="zh-CN" w:bidi="ar-SA"/>
        </w:rPr>
        <w:id w:val="147453954"/>
        <w15:color w:val="DBDBDB"/>
        <w:docPartObj>
          <w:docPartGallery w:val="Table of Contents"/>
          <w:docPartUnique/>
        </w:docPartObj>
      </w:sdtPr>
      <w:sdtEndPr>
        <w:rPr>
          <w:rFonts w:hint="eastAsia" w:ascii="宋体" w:hAnsi="宋体" w:eastAsia="宋体" w:cs="宋体"/>
          <w:b/>
          <w:bCs/>
          <w:caps/>
          <w:color w:val="auto"/>
          <w:kern w:val="2"/>
          <w:sz w:val="20"/>
          <w:szCs w:val="24"/>
          <w:highlight w:val="none"/>
          <w:lang w:val="en-US" w:eastAsia="zh-CN" w:bidi="ar-SA"/>
        </w:rPr>
      </w:sdtEndPr>
      <w:sdtContent>
        <w:p>
          <w:pPr>
            <w:spacing w:before="0" w:beforeLines="0" w:after="0" w:afterLines="0" w:line="240" w:lineRule="auto"/>
            <w:ind w:left="0" w:leftChars="0" w:right="0" w:rightChars="0" w:firstLine="0" w:firstLineChars="0"/>
            <w:jc w:val="center"/>
            <w:rPr>
              <w:color w:val="auto"/>
              <w:highlight w:val="none"/>
            </w:rPr>
          </w:pP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TOC \o "1-2" \h \u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_Toc18223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第一部分    </w:t>
          </w:r>
          <w:r>
            <w:rPr>
              <w:rFonts w:hint="eastAsia" w:ascii="宋体" w:hAnsi="宋体" w:eastAsia="宋体" w:cs="宋体"/>
              <w:color w:val="auto"/>
              <w:sz w:val="24"/>
              <w:szCs w:val="24"/>
              <w:highlight w:val="none"/>
              <w:lang w:eastAsia="zh-CN"/>
            </w:rPr>
            <w:t>询</w:t>
          </w:r>
          <w:r>
            <w:rPr>
              <w:rFonts w:hint="eastAsia" w:ascii="宋体" w:hAnsi="宋体" w:eastAsia="宋体" w:cs="宋体"/>
              <w:color w:val="auto"/>
              <w:sz w:val="24"/>
              <w:szCs w:val="24"/>
              <w:highlight w:val="none"/>
            </w:rPr>
            <w:t>价邀请</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_Toc18223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_Toc13469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询价</w:t>
          </w:r>
          <w:r>
            <w:rPr>
              <w:rFonts w:hint="eastAsia" w:ascii="宋体" w:hAnsi="宋体" w:eastAsia="宋体" w:cs="宋体"/>
              <w:color w:val="auto"/>
              <w:sz w:val="24"/>
              <w:szCs w:val="24"/>
              <w:highlight w:val="none"/>
              <w:lang w:eastAsia="zh-CN"/>
            </w:rPr>
            <w:t>标的</w:t>
          </w:r>
          <w:r>
            <w:rPr>
              <w:rFonts w:hint="eastAsia" w:ascii="宋体" w:hAnsi="宋体" w:eastAsia="宋体" w:cs="宋体"/>
              <w:color w:val="auto"/>
              <w:sz w:val="24"/>
              <w:szCs w:val="24"/>
              <w:highlight w:val="none"/>
            </w:rPr>
            <w:t>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_Toc13469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_Toc7302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eastAsia="zh-CN"/>
            </w:rPr>
            <w:t>第二部分</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报价供应商须知</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_Toc7302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_Toc5918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询价内容</w:t>
          </w:r>
          <w:r>
            <w:rPr>
              <w:rFonts w:hint="eastAsia" w:ascii="宋体" w:hAnsi="宋体" w:eastAsia="宋体" w:cs="宋体"/>
              <w:color w:val="auto"/>
              <w:sz w:val="24"/>
              <w:szCs w:val="24"/>
              <w:highlight w:val="none"/>
            </w:rPr>
            <w:t>及要求</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_Toc5918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_Toc29063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四</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文件格式</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_Toc29063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格式1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报   价  书</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9</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_Toc13976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格式2                       报价一览表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_Toc13976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10</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_Toc12436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 xml:space="preserve">                          分项报价明细表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_Toc12436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11</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_Toc24037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资格声明函</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_Toc24037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_Toc30609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法定代表人授权书(原件)</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_Toc30609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end"/>
          </w:r>
        </w:p>
      </w:sdtContent>
    </w:sd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pStyle w:val="14"/>
        <w:rPr>
          <w:rFonts w:hint="eastAsia"/>
          <w:color w:val="auto"/>
          <w:highlight w:val="none"/>
        </w:rPr>
      </w:pPr>
    </w:p>
    <w:p>
      <w:pPr>
        <w:rPr>
          <w:rFonts w:hint="eastAsia"/>
          <w:color w:val="auto"/>
          <w:highlight w:val="none"/>
        </w:rPr>
      </w:pPr>
    </w:p>
    <w:p>
      <w:pPr>
        <w:pStyle w:val="14"/>
        <w:rPr>
          <w:rFonts w:hint="eastAsia"/>
          <w:color w:val="auto"/>
          <w:highlight w:val="none"/>
        </w:rPr>
      </w:pPr>
    </w:p>
    <w:p>
      <w:pPr>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
        <w:spacing w:before="0" w:after="0" w:line="360" w:lineRule="auto"/>
        <w:jc w:val="center"/>
        <w:rPr>
          <w:rFonts w:hint="eastAsia" w:ascii="宋体" w:hAnsi="宋体" w:eastAsia="宋体"/>
          <w:color w:val="auto"/>
          <w:sz w:val="36"/>
          <w:szCs w:val="36"/>
          <w:highlight w:val="none"/>
        </w:rPr>
      </w:pPr>
      <w:bookmarkStart w:id="0" w:name="_Toc18223"/>
      <w:bookmarkStart w:id="1" w:name="_Toc134733479"/>
      <w:bookmarkStart w:id="2" w:name="_Toc9763"/>
      <w:bookmarkStart w:id="3" w:name="_Toc26208"/>
      <w:bookmarkStart w:id="4" w:name="_Toc10914"/>
      <w:r>
        <w:rPr>
          <w:rFonts w:hint="eastAsia" w:ascii="宋体" w:hAnsi="宋体" w:eastAsia="宋体"/>
          <w:color w:val="auto"/>
          <w:sz w:val="36"/>
          <w:szCs w:val="36"/>
          <w:highlight w:val="none"/>
        </w:rPr>
        <w:t xml:space="preserve">第一部分    </w:t>
      </w:r>
      <w:r>
        <w:rPr>
          <w:rFonts w:hint="eastAsia" w:ascii="宋体" w:hAnsi="宋体" w:eastAsia="宋体"/>
          <w:color w:val="auto"/>
          <w:sz w:val="36"/>
          <w:szCs w:val="36"/>
          <w:highlight w:val="none"/>
          <w:lang w:eastAsia="zh-CN"/>
        </w:rPr>
        <w:t>询</w:t>
      </w:r>
      <w:r>
        <w:rPr>
          <w:rFonts w:hint="eastAsia" w:ascii="宋体" w:hAnsi="宋体" w:eastAsia="宋体"/>
          <w:color w:val="auto"/>
          <w:sz w:val="36"/>
          <w:szCs w:val="36"/>
          <w:highlight w:val="none"/>
        </w:rPr>
        <w:t>价邀请</w:t>
      </w:r>
      <w:bookmarkEnd w:id="0"/>
      <w:bookmarkEnd w:id="1"/>
      <w:bookmarkEnd w:id="2"/>
      <w:bookmarkEnd w:id="3"/>
      <w:bookmarkEnd w:id="4"/>
    </w:p>
    <w:p>
      <w:pPr>
        <w:pStyle w:val="14"/>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i w:val="0"/>
          <w:iCs w:val="0"/>
          <w:color w:val="auto"/>
          <w:sz w:val="24"/>
          <w:szCs w:val="24"/>
          <w:highlight w:val="none"/>
        </w:rPr>
      </w:pPr>
      <w:bookmarkStart w:id="5" w:name="_Toc40761347"/>
      <w:bookmarkStart w:id="6" w:name="_Toc35222536"/>
      <w:bookmarkStart w:id="7" w:name="_Toc35599967"/>
      <w:bookmarkStart w:id="8" w:name="_Toc98672988"/>
      <w:bookmarkStart w:id="9" w:name="_Toc35742634"/>
      <w:bookmarkStart w:id="10" w:name="_Toc53335577"/>
      <w:bookmarkStart w:id="11" w:name="_Toc108257397"/>
      <w:bookmarkStart w:id="12" w:name="_Toc34745149"/>
      <w:bookmarkStart w:id="13" w:name="_Toc3785675"/>
      <w:bookmarkStart w:id="14" w:name="_Toc53570175"/>
      <w:bookmarkStart w:id="15" w:name="_Toc35071897"/>
      <w:bookmarkStart w:id="16" w:name="_Toc36123671"/>
      <w:bookmarkStart w:id="17" w:name="_Toc93397582"/>
      <w:bookmarkStart w:id="18" w:name="_Toc108257590"/>
      <w:bookmarkStart w:id="19" w:name="_Toc108260365"/>
      <w:bookmarkStart w:id="20" w:name="_Toc35068743"/>
      <w:bookmarkStart w:id="21" w:name="_Toc34703823"/>
      <w:bookmarkStart w:id="22" w:name="_Toc35941127"/>
      <w:bookmarkStart w:id="23" w:name="_Toc35622007"/>
      <w:bookmarkStart w:id="24" w:name="_Toc425276503"/>
      <w:bookmarkStart w:id="25" w:name="_Toc34789935"/>
      <w:bookmarkStart w:id="26" w:name="_Toc35107772"/>
      <w:bookmarkStart w:id="27" w:name="_Toc3785513"/>
      <w:bookmarkStart w:id="28" w:name="_Toc60130052"/>
      <w:bookmarkStart w:id="29" w:name="_Toc108257466"/>
      <w:bookmarkStart w:id="30" w:name="_Toc34664278"/>
      <w:bookmarkStart w:id="31" w:name="_Toc108257116"/>
      <w:bookmarkStart w:id="32" w:name="_Toc36146204"/>
      <w:bookmarkStart w:id="33" w:name="_Toc33953164"/>
      <w:bookmarkStart w:id="34" w:name="_Toc3785637"/>
      <w:bookmarkStart w:id="35" w:name="_Toc105389203"/>
      <w:bookmarkStart w:id="36" w:name="_Toc54513051"/>
      <w:bookmarkStart w:id="37" w:name="_Toc93397984"/>
      <w:bookmarkStart w:id="38" w:name="_Toc98731630"/>
      <w:bookmarkStart w:id="39" w:name="_Toc33775520"/>
      <w:bookmarkStart w:id="40" w:name="_Toc87857945"/>
      <w:bookmarkStart w:id="41" w:name="_Toc3785461"/>
      <w:r>
        <w:rPr>
          <w:rFonts w:hint="eastAsia" w:ascii="宋体" w:hAnsi="宋体"/>
          <w:i w:val="0"/>
          <w:iCs w:val="0"/>
          <w:color w:val="auto"/>
          <w:sz w:val="24"/>
          <w:szCs w:val="24"/>
          <w:highlight w:val="none"/>
          <w:u w:val="single"/>
          <w:lang w:val="en-US" w:eastAsia="zh-CN"/>
        </w:rPr>
        <w:t xml:space="preserve"> </w:t>
      </w:r>
      <w:r>
        <w:rPr>
          <w:rFonts w:hint="eastAsia" w:ascii="宋体" w:hAnsi="宋体"/>
          <w:i w:val="0"/>
          <w:iCs w:val="0"/>
          <w:color w:val="FF0000"/>
          <w:sz w:val="24"/>
          <w:szCs w:val="24"/>
          <w:highlight w:val="none"/>
          <w:u w:val="single"/>
          <w:lang w:val="en-US" w:eastAsia="zh-CN"/>
        </w:rPr>
        <w:t xml:space="preserve">泉州师范学院 （物理与信息工程学院） </w:t>
      </w:r>
      <w:r>
        <w:rPr>
          <w:rFonts w:hint="eastAsia" w:ascii="宋体" w:hAnsi="宋体"/>
          <w:i w:val="0"/>
          <w:iCs w:val="0"/>
          <w:color w:val="auto"/>
          <w:spacing w:val="-6"/>
          <w:sz w:val="24"/>
          <w:szCs w:val="24"/>
          <w:highlight w:val="none"/>
        </w:rPr>
        <w:t>以</w:t>
      </w:r>
      <w:r>
        <w:rPr>
          <w:rFonts w:hint="eastAsia" w:ascii="宋体" w:hAnsi="宋体"/>
          <w:i w:val="0"/>
          <w:iCs w:val="0"/>
          <w:color w:val="auto"/>
          <w:spacing w:val="-6"/>
          <w:sz w:val="24"/>
          <w:szCs w:val="24"/>
          <w:highlight w:val="none"/>
          <w:u w:val="single"/>
        </w:rPr>
        <w:t xml:space="preserve"> </w:t>
      </w:r>
      <w:r>
        <w:rPr>
          <w:rFonts w:hint="eastAsia" w:ascii="宋体" w:hAnsi="宋体"/>
          <w:i w:val="0"/>
          <w:iCs w:val="0"/>
          <w:color w:val="auto"/>
          <w:spacing w:val="-6"/>
          <w:sz w:val="24"/>
          <w:szCs w:val="24"/>
          <w:highlight w:val="none"/>
          <w:u w:val="single"/>
          <w:lang w:val="en-US" w:eastAsia="zh-CN"/>
        </w:rPr>
        <w:t xml:space="preserve"> </w:t>
      </w:r>
      <w:r>
        <w:rPr>
          <w:rFonts w:hint="eastAsia" w:ascii="宋体" w:hAnsi="宋体"/>
          <w:b/>
          <w:bCs/>
          <w:i w:val="0"/>
          <w:iCs w:val="0"/>
          <w:color w:val="auto"/>
          <w:spacing w:val="-6"/>
          <w:sz w:val="24"/>
          <w:szCs w:val="24"/>
          <w:highlight w:val="none"/>
          <w:u w:val="single"/>
        </w:rPr>
        <w:t>询价</w:t>
      </w:r>
      <w:r>
        <w:rPr>
          <w:rFonts w:hint="eastAsia" w:ascii="宋体" w:hAnsi="宋体"/>
          <w:b/>
          <w:bCs/>
          <w:i w:val="0"/>
          <w:iCs w:val="0"/>
          <w:color w:val="auto"/>
          <w:spacing w:val="-6"/>
          <w:sz w:val="24"/>
          <w:szCs w:val="24"/>
          <w:highlight w:val="none"/>
          <w:u w:val="single"/>
          <w:lang w:val="en-US" w:eastAsia="zh-CN"/>
        </w:rPr>
        <w:t xml:space="preserve">  </w:t>
      </w:r>
      <w:r>
        <w:rPr>
          <w:rFonts w:hint="eastAsia" w:ascii="宋体" w:hAnsi="宋体"/>
          <w:bCs/>
          <w:i w:val="0"/>
          <w:iCs w:val="0"/>
          <w:color w:val="auto"/>
          <w:spacing w:val="-6"/>
          <w:sz w:val="24"/>
          <w:szCs w:val="24"/>
          <w:highlight w:val="none"/>
        </w:rPr>
        <w:t>的</w:t>
      </w:r>
      <w:r>
        <w:rPr>
          <w:rFonts w:hint="eastAsia" w:ascii="宋体" w:hAnsi="宋体"/>
          <w:i w:val="0"/>
          <w:iCs w:val="0"/>
          <w:color w:val="auto"/>
          <w:spacing w:val="-6"/>
          <w:sz w:val="24"/>
          <w:szCs w:val="24"/>
          <w:highlight w:val="none"/>
        </w:rPr>
        <w:t>方式对以下项目进行采购，欢迎</w:t>
      </w:r>
      <w:r>
        <w:rPr>
          <w:rFonts w:hint="eastAsia" w:ascii="宋体" w:hAnsi="宋体"/>
          <w:i w:val="0"/>
          <w:iCs w:val="0"/>
          <w:color w:val="auto"/>
          <w:spacing w:val="-6"/>
          <w:sz w:val="24"/>
          <w:szCs w:val="24"/>
          <w:highlight w:val="none"/>
          <w:lang w:eastAsia="zh-CN"/>
        </w:rPr>
        <w:t>合格的</w:t>
      </w:r>
      <w:r>
        <w:rPr>
          <w:rFonts w:hint="eastAsia" w:ascii="宋体" w:hAnsi="宋体"/>
          <w:i w:val="0"/>
          <w:iCs w:val="0"/>
          <w:color w:val="FF0000"/>
          <w:spacing w:val="-6"/>
          <w:sz w:val="24"/>
          <w:szCs w:val="24"/>
          <w:highlight w:val="none"/>
          <w:lang w:eastAsia="zh-CN"/>
        </w:rPr>
        <w:t>受邀</w:t>
      </w:r>
      <w:r>
        <w:rPr>
          <w:rFonts w:hint="eastAsia" w:ascii="宋体" w:hAnsi="宋体"/>
          <w:i w:val="0"/>
          <w:iCs w:val="0"/>
          <w:color w:val="auto"/>
          <w:spacing w:val="-6"/>
          <w:sz w:val="24"/>
          <w:szCs w:val="24"/>
          <w:highlight w:val="none"/>
        </w:rPr>
        <w:t>供应商参加报价。</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一、</w:t>
      </w:r>
      <w:r>
        <w:rPr>
          <w:rFonts w:hint="eastAsia" w:ascii="宋体" w:hAnsi="宋体"/>
          <w:color w:val="auto"/>
          <w:sz w:val="24"/>
          <w:szCs w:val="24"/>
          <w:highlight w:val="none"/>
          <w:lang w:eastAsia="zh-CN"/>
        </w:rPr>
        <w:t>项目基本情况</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b w:val="0"/>
          <w:bCs/>
          <w:color w:val="FF0000"/>
          <w:sz w:val="24"/>
          <w:szCs w:val="24"/>
          <w:highlight w:val="none"/>
          <w:u w:val="single"/>
          <w:lang w:val="en-US" w:eastAsia="zh-CN"/>
        </w:rPr>
      </w:pPr>
      <w:r>
        <w:rPr>
          <w:rFonts w:hint="eastAsia" w:ascii="宋体" w:hAnsi="宋体"/>
          <w:color w:val="FF0000"/>
          <w:sz w:val="24"/>
          <w:szCs w:val="24"/>
          <w:highlight w:val="none"/>
        </w:rPr>
        <w:t>采购编号：</w:t>
      </w:r>
      <w:r>
        <w:rPr>
          <w:rFonts w:hint="eastAsia" w:ascii="宋体" w:hAnsi="宋体"/>
          <w:b w:val="0"/>
          <w:bCs/>
          <w:color w:val="FF0000"/>
          <w:sz w:val="24"/>
          <w:szCs w:val="24"/>
          <w:highlight w:val="none"/>
          <w:u w:val="single"/>
          <w:lang w:val="en-US" w:eastAsia="zh-CN"/>
        </w:rPr>
        <w:t xml:space="preserve">   202302            </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宋体" w:hAnsi="宋体"/>
          <w:b w:val="0"/>
          <w:bCs/>
          <w:color w:val="FF0000"/>
          <w:sz w:val="24"/>
          <w:szCs w:val="24"/>
          <w:highlight w:val="none"/>
          <w:u w:val="single"/>
          <w:lang w:val="en-US" w:eastAsia="zh-CN"/>
        </w:rPr>
      </w:pPr>
      <w:r>
        <w:rPr>
          <w:rFonts w:hint="eastAsia" w:ascii="宋体" w:hAnsi="宋体"/>
          <w:color w:val="FF0000"/>
          <w:sz w:val="24"/>
          <w:szCs w:val="24"/>
          <w:highlight w:val="none"/>
        </w:rPr>
        <w:t>项目名称：</w:t>
      </w:r>
      <w:r>
        <w:rPr>
          <w:rFonts w:hint="eastAsia" w:ascii="宋体" w:hAnsi="宋体"/>
          <w:b w:val="0"/>
          <w:bCs/>
          <w:color w:val="FF0000"/>
          <w:sz w:val="24"/>
          <w:szCs w:val="24"/>
          <w:highlight w:val="none"/>
          <w:u w:val="single"/>
          <w:lang w:val="en-US" w:eastAsia="zh-CN"/>
        </w:rPr>
        <w:t xml:space="preserve">  数字功率测试仪等竞赛用设备 </w:t>
      </w:r>
    </w:p>
    <w:p>
      <w:pPr>
        <w:pStyle w:val="23"/>
        <w:ind w:firstLine="480" w:firstLineChars="200"/>
        <w:rPr>
          <w:rFonts w:hint="eastAsia" w:ascii="宋体" w:hAnsi="宋体" w:eastAsia="宋体" w:cs="Times New Roman"/>
          <w:color w:val="FF0000"/>
          <w:kern w:val="2"/>
          <w:sz w:val="24"/>
          <w:szCs w:val="24"/>
          <w:highlight w:val="none"/>
          <w:u w:val="single"/>
          <w:lang w:val="en-US" w:eastAsia="zh-CN" w:bidi="ar-SA"/>
        </w:rPr>
      </w:pPr>
      <w:r>
        <w:rPr>
          <w:rFonts w:hint="eastAsia" w:ascii="宋体" w:hAnsi="宋体" w:eastAsia="宋体" w:cs="Times New Roman"/>
          <w:color w:val="FF0000"/>
          <w:kern w:val="2"/>
          <w:sz w:val="24"/>
          <w:szCs w:val="24"/>
          <w:highlight w:val="none"/>
          <w:lang w:val="en-US" w:eastAsia="zh-CN" w:bidi="ar-SA"/>
        </w:rPr>
        <w:t>预算金额：</w:t>
      </w:r>
      <w:r>
        <w:rPr>
          <w:rFonts w:hint="eastAsia" w:ascii="宋体" w:hAnsi="宋体" w:eastAsia="宋体" w:cs="Times New Roman"/>
          <w:color w:val="FF0000"/>
          <w:kern w:val="2"/>
          <w:sz w:val="24"/>
          <w:szCs w:val="24"/>
          <w:highlight w:val="none"/>
          <w:u w:val="single"/>
          <w:lang w:val="en-US" w:eastAsia="zh-CN" w:bidi="ar-SA"/>
        </w:rPr>
        <w:t xml:space="preserve">   77979 元      </w:t>
      </w:r>
    </w:p>
    <w:tbl>
      <w:tblPr>
        <w:tblStyle w:val="18"/>
        <w:tblpPr w:leftFromText="180" w:rightFromText="180" w:vertAnchor="text" w:horzAnchor="page" w:tblpX="1386" w:tblpY="590"/>
        <w:tblOverlap w:val="never"/>
        <w:tblW w:w="9788"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
      <w:tblGrid>
        <w:gridCol w:w="954"/>
        <w:gridCol w:w="2942"/>
        <w:gridCol w:w="1747"/>
        <w:gridCol w:w="1853"/>
        <w:gridCol w:w="1252"/>
        <w:gridCol w:w="1040"/>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cantSplit/>
          <w:trHeight w:val="583" w:hRule="atLeast"/>
        </w:trPr>
        <w:tc>
          <w:tcPr>
            <w:tcW w:w="954" w:type="dxa"/>
            <w:tcBorders>
              <w:tl2br w:val="nil"/>
              <w:tr2bl w:val="nil"/>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bookmarkStart w:id="42" w:name="_Toc13469"/>
            <w:bookmarkStart w:id="43" w:name="_Toc26626"/>
            <w:bookmarkStart w:id="44" w:name="_Toc491700004"/>
            <w:r>
              <w:rPr>
                <w:rFonts w:hint="eastAsia" w:ascii="宋体" w:hAnsi="宋体"/>
                <w:b/>
                <w:bCs/>
                <w:color w:val="auto"/>
                <w:highlight w:val="none"/>
              </w:rPr>
              <w:t>合同包</w:t>
            </w:r>
          </w:p>
        </w:tc>
        <w:tc>
          <w:tcPr>
            <w:tcW w:w="2942" w:type="dxa"/>
            <w:tcBorders>
              <w:tl2br w:val="nil"/>
              <w:tr2bl w:val="nil"/>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项目名称</w:t>
            </w:r>
          </w:p>
        </w:tc>
        <w:tc>
          <w:tcPr>
            <w:tcW w:w="1747" w:type="dxa"/>
            <w:tcBorders>
              <w:tl2br w:val="nil"/>
              <w:tr2bl w:val="nil"/>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b/>
                <w:bCs/>
                <w:color w:val="auto"/>
                <w:highlight w:val="none"/>
                <w:lang w:val="en-US" w:eastAsia="zh-CN"/>
              </w:rPr>
            </w:pPr>
            <w:r>
              <w:rPr>
                <w:rFonts w:hint="eastAsia" w:ascii="宋体" w:hAnsi="宋体"/>
                <w:b/>
                <w:bCs/>
                <w:color w:val="auto"/>
                <w:highlight w:val="none"/>
              </w:rPr>
              <w:t>数量</w:t>
            </w:r>
            <w:r>
              <w:rPr>
                <w:rFonts w:hint="eastAsia" w:ascii="宋体" w:hAnsi="宋体"/>
                <w:b/>
                <w:bCs/>
                <w:color w:val="auto"/>
                <w:highlight w:val="none"/>
                <w:lang w:val="en-US" w:eastAsia="zh-CN"/>
              </w:rPr>
              <w:t>/单位</w:t>
            </w:r>
          </w:p>
        </w:tc>
        <w:tc>
          <w:tcPr>
            <w:tcW w:w="1853" w:type="dxa"/>
            <w:tcBorders>
              <w:tl2br w:val="nil"/>
              <w:tr2bl w:val="nil"/>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预算</w:t>
            </w:r>
            <w:r>
              <w:rPr>
                <w:rFonts w:hint="eastAsia" w:ascii="宋体" w:hAnsi="宋体"/>
                <w:b/>
                <w:bCs/>
                <w:color w:val="auto"/>
                <w:highlight w:val="none"/>
                <w:lang w:val="en-US" w:eastAsia="zh-CN"/>
              </w:rPr>
              <w:t>单</w:t>
            </w:r>
            <w:r>
              <w:rPr>
                <w:rFonts w:hint="eastAsia" w:ascii="宋体" w:hAnsi="宋体"/>
                <w:b/>
                <w:bCs/>
                <w:color w:val="auto"/>
                <w:highlight w:val="none"/>
                <w:lang w:eastAsia="zh-CN"/>
              </w:rPr>
              <w:t>价（元）</w:t>
            </w:r>
          </w:p>
        </w:tc>
        <w:tc>
          <w:tcPr>
            <w:tcW w:w="1252" w:type="dxa"/>
            <w:tcBorders>
              <w:tl2br w:val="nil"/>
              <w:tr2bl w:val="nil"/>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宋体" w:hAnsi="宋体"/>
                <w:b/>
                <w:bCs/>
                <w:color w:val="auto"/>
                <w:highlight w:val="none"/>
                <w:lang w:val="en-US" w:eastAsia="zh-CN"/>
              </w:rPr>
            </w:pPr>
            <w:r>
              <w:rPr>
                <w:rFonts w:hint="eastAsia" w:ascii="宋体" w:hAnsi="宋体"/>
                <w:b/>
                <w:bCs/>
                <w:color w:val="auto"/>
                <w:highlight w:val="none"/>
                <w:lang w:val="en-US" w:eastAsia="zh-CN"/>
              </w:rPr>
              <w:t>预算金额</w:t>
            </w:r>
          </w:p>
        </w:tc>
        <w:tc>
          <w:tcPr>
            <w:tcW w:w="1040" w:type="dxa"/>
            <w:tcBorders>
              <w:tl2br w:val="nil"/>
              <w:tr2bl w:val="nil"/>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询价内容及</w:t>
            </w:r>
            <w:r>
              <w:rPr>
                <w:rFonts w:hint="eastAsia" w:ascii="宋体" w:hAnsi="宋体"/>
                <w:b/>
                <w:bCs/>
                <w:color w:val="auto"/>
                <w:highlight w:val="none"/>
              </w:rPr>
              <w:t>要求</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cantSplit/>
          <w:trHeight w:val="1039" w:hRule="atLeast"/>
        </w:trPr>
        <w:tc>
          <w:tcPr>
            <w:tcW w:w="954" w:type="dxa"/>
            <w:vMerge w:val="restart"/>
            <w:tcBorders>
              <w:tl2br w:val="nil"/>
              <w:tr2bl w:val="nil"/>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olor w:val="FF0000"/>
                <w:highlight w:val="none"/>
              </w:rPr>
            </w:pPr>
            <w:r>
              <w:rPr>
                <w:rFonts w:hint="eastAsia" w:ascii="宋体" w:hAnsi="宋体"/>
                <w:color w:val="FF0000"/>
                <w:highlight w:val="none"/>
              </w:rPr>
              <w:t>一</w:t>
            </w:r>
          </w:p>
        </w:tc>
        <w:tc>
          <w:tcPr>
            <w:tcW w:w="2942" w:type="dxa"/>
            <w:tcBorders>
              <w:tl2br w:val="nil"/>
              <w:tr2bl w:val="nil"/>
            </w:tcBorders>
            <w:noWrap w:val="0"/>
            <w:tcMar>
              <w:top w:w="0" w:type="dxa"/>
              <w:left w:w="108" w:type="dxa"/>
              <w:bottom w:w="0" w:type="dxa"/>
              <w:right w:w="108" w:type="dxa"/>
            </w:tcMar>
            <w:vAlign w:val="center"/>
          </w:tcPr>
          <w:p>
            <w:pPr>
              <w:snapToGrid w:val="0"/>
              <w:jc w:val="center"/>
              <w:rPr>
                <w:rFonts w:hint="eastAsia" w:ascii="宋体" w:hAnsi="宋体" w:eastAsia="宋体" w:cs="Times New Roman"/>
                <w:kern w:val="2"/>
                <w:sz w:val="21"/>
                <w:szCs w:val="21"/>
                <w:highlight w:val="none"/>
                <w:lang w:val="en-US" w:eastAsia="zh-CN" w:bidi="ar-SA"/>
              </w:rPr>
            </w:pPr>
            <w:r>
              <w:rPr>
                <w:rFonts w:hint="eastAsia" w:ascii="宋体" w:hAnsi="宋体"/>
                <w:kern w:val="2"/>
                <w:sz w:val="21"/>
                <w:szCs w:val="21"/>
                <w:highlight w:val="none"/>
                <w:lang w:val="en-US" w:eastAsia="zh-CN" w:bidi="ar-SA"/>
              </w:rPr>
              <w:t>数字功率测试仪</w:t>
            </w:r>
          </w:p>
        </w:tc>
        <w:tc>
          <w:tcPr>
            <w:tcW w:w="1747" w:type="dxa"/>
            <w:tcBorders>
              <w:tl2br w:val="nil"/>
              <w:tr2bl w:val="nil"/>
            </w:tcBorders>
            <w:noWrap w:val="0"/>
            <w:tcMar>
              <w:top w:w="0" w:type="dxa"/>
              <w:left w:w="108" w:type="dxa"/>
              <w:bottom w:w="0" w:type="dxa"/>
              <w:right w:w="108" w:type="dxa"/>
            </w:tcMar>
            <w:vAlign w:val="center"/>
          </w:tcPr>
          <w:p>
            <w:pPr>
              <w:snapToGrid w:val="0"/>
              <w:jc w:val="center"/>
              <w:rPr>
                <w:rFonts w:hint="default"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w:t>
            </w:r>
          </w:p>
        </w:tc>
        <w:tc>
          <w:tcPr>
            <w:tcW w:w="1853" w:type="dxa"/>
            <w:tcBorders>
              <w:tl2br w:val="nil"/>
              <w:tr2bl w:val="nil"/>
            </w:tcBorders>
            <w:noWrap w:val="0"/>
            <w:tcMar>
              <w:top w:w="0" w:type="dxa"/>
              <w:left w:w="108" w:type="dxa"/>
              <w:bottom w:w="0" w:type="dxa"/>
              <w:right w:w="108" w:type="dxa"/>
            </w:tcMar>
            <w:vAlign w:val="center"/>
          </w:tcPr>
          <w:p>
            <w:pPr>
              <w:widowControl/>
              <w:jc w:val="center"/>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1</w:t>
            </w:r>
            <w:r>
              <w:rPr>
                <w:rFonts w:hint="eastAsia" w:ascii="宋体" w:hAnsi="宋体" w:eastAsia="宋体" w:cs="宋体"/>
                <w:color w:val="000000"/>
                <w:kern w:val="0"/>
                <w:sz w:val="24"/>
                <w:szCs w:val="24"/>
                <w:lang w:val="en-US" w:eastAsia="zh-CN"/>
              </w:rPr>
              <w:t>0000</w:t>
            </w:r>
          </w:p>
        </w:tc>
        <w:tc>
          <w:tcPr>
            <w:tcW w:w="1252" w:type="dxa"/>
            <w:tcBorders>
              <w:tl2br w:val="nil"/>
              <w:tr2bl w:val="nil"/>
            </w:tcBorders>
            <w:noWrap w:val="0"/>
            <w:tcMar>
              <w:top w:w="0" w:type="dxa"/>
              <w:left w:w="108" w:type="dxa"/>
              <w:bottom w:w="0" w:type="dxa"/>
              <w:right w:w="108" w:type="dxa"/>
            </w:tcMar>
            <w:vAlign w:val="center"/>
          </w:tcPr>
          <w:p>
            <w:pPr>
              <w:widowControl/>
              <w:jc w:val="center"/>
              <w:rPr>
                <w:rFonts w:hint="eastAsia" w:ascii="宋体" w:hAnsi="宋体"/>
                <w:color w:val="auto"/>
                <w:highlight w:val="none"/>
              </w:rPr>
            </w:pPr>
            <w:r>
              <w:rPr>
                <w:rFonts w:hint="eastAsia" w:ascii="宋体" w:hAnsi="宋体" w:eastAsia="宋体" w:cs="宋体"/>
                <w:color w:val="000000"/>
                <w:kern w:val="0"/>
                <w:sz w:val="24"/>
                <w:szCs w:val="24"/>
              </w:rPr>
              <w:t>1</w:t>
            </w:r>
            <w:r>
              <w:rPr>
                <w:rFonts w:hint="eastAsia" w:ascii="宋体" w:hAnsi="宋体" w:eastAsia="宋体" w:cs="宋体"/>
                <w:color w:val="000000"/>
                <w:kern w:val="0"/>
                <w:sz w:val="24"/>
                <w:szCs w:val="24"/>
                <w:lang w:val="en-US" w:eastAsia="zh-CN"/>
              </w:rPr>
              <w:t>0000</w:t>
            </w:r>
          </w:p>
        </w:tc>
        <w:tc>
          <w:tcPr>
            <w:tcW w:w="1040" w:type="dxa"/>
            <w:vMerge w:val="restart"/>
            <w:tcBorders>
              <w:tl2br w:val="nil"/>
              <w:tr2bl w:val="nil"/>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FF0000"/>
                <w:highlight w:val="none"/>
              </w:rPr>
            </w:pPr>
            <w:r>
              <w:rPr>
                <w:rFonts w:hint="eastAsia" w:ascii="宋体" w:hAnsi="宋体"/>
                <w:color w:val="auto"/>
                <w:highlight w:val="none"/>
              </w:rPr>
              <w:t>详见询价文件第</w:t>
            </w:r>
            <w:r>
              <w:rPr>
                <w:rFonts w:hint="eastAsia" w:ascii="宋体" w:hAnsi="宋体"/>
                <w:color w:val="auto"/>
                <w:highlight w:val="none"/>
                <w:lang w:eastAsia="zh-CN"/>
              </w:rPr>
              <w:t>三</w:t>
            </w:r>
            <w:r>
              <w:rPr>
                <w:rFonts w:hint="eastAsia" w:ascii="宋体" w:hAnsi="宋体"/>
                <w:color w:val="auto"/>
                <w:highlight w:val="none"/>
              </w:rPr>
              <w:t>部分要求</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cantSplit/>
          <w:trHeight w:val="1039" w:hRule="atLeast"/>
        </w:trPr>
        <w:tc>
          <w:tcPr>
            <w:tcW w:w="954" w:type="dxa"/>
            <w:vMerge w:val="continue"/>
            <w:tcBorders>
              <w:tl2br w:val="nil"/>
              <w:tr2bl w:val="nil"/>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olor w:val="FF0000"/>
                <w:highlight w:val="none"/>
              </w:rPr>
            </w:pPr>
          </w:p>
        </w:tc>
        <w:tc>
          <w:tcPr>
            <w:tcW w:w="2942" w:type="dxa"/>
            <w:tcBorders>
              <w:tl2br w:val="nil"/>
              <w:tr2bl w:val="nil"/>
            </w:tcBorders>
            <w:noWrap w:val="0"/>
            <w:tcMar>
              <w:top w:w="0" w:type="dxa"/>
              <w:left w:w="108" w:type="dxa"/>
              <w:bottom w:w="0" w:type="dxa"/>
              <w:right w:w="108" w:type="dxa"/>
            </w:tcMar>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kern w:val="2"/>
                <w:sz w:val="21"/>
                <w:szCs w:val="21"/>
                <w:highlight w:val="none"/>
                <w:lang w:val="en-US" w:eastAsia="zh-CN" w:bidi="ar-SA"/>
              </w:rPr>
              <w:t>数字示波器</w:t>
            </w:r>
          </w:p>
        </w:tc>
        <w:tc>
          <w:tcPr>
            <w:tcW w:w="1747" w:type="dxa"/>
            <w:tcBorders>
              <w:tl2br w:val="nil"/>
              <w:tr2bl w:val="nil"/>
            </w:tcBorders>
            <w:noWrap w:val="0"/>
            <w:tcMar>
              <w:top w:w="0" w:type="dxa"/>
              <w:left w:w="108" w:type="dxa"/>
              <w:bottom w:w="0" w:type="dxa"/>
              <w:right w:w="108" w:type="dxa"/>
            </w:tcMar>
            <w:vAlign w:val="bottom"/>
          </w:tcPr>
          <w:p>
            <w:pPr>
              <w:snapToGrid w:val="0"/>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w:t>
            </w:r>
          </w:p>
        </w:tc>
        <w:tc>
          <w:tcPr>
            <w:tcW w:w="1853" w:type="dxa"/>
            <w:tcBorders>
              <w:tl2br w:val="nil"/>
              <w:tr2bl w:val="nil"/>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rPr>
              <w:t>18079</w:t>
            </w:r>
          </w:p>
        </w:tc>
        <w:tc>
          <w:tcPr>
            <w:tcW w:w="1252" w:type="dxa"/>
            <w:tcBorders>
              <w:tl2br w:val="nil"/>
              <w:tr2bl w:val="nil"/>
            </w:tcBorders>
            <w:noWrap w:val="0"/>
            <w:tcMar>
              <w:top w:w="0" w:type="dxa"/>
              <w:left w:w="108" w:type="dxa"/>
              <w:bottom w:w="0" w:type="dxa"/>
              <w:right w:w="108" w:type="dxa"/>
            </w:tcMar>
            <w:vAlign w:val="center"/>
          </w:tcPr>
          <w:p>
            <w:pPr>
              <w:widowControl/>
              <w:jc w:val="center"/>
              <w:rPr>
                <w:rFonts w:hint="eastAsia" w:ascii="宋体" w:hAnsi="宋体"/>
                <w:color w:val="auto"/>
                <w:highlight w:val="none"/>
              </w:rPr>
            </w:pPr>
            <w:r>
              <w:rPr>
                <w:rFonts w:hint="eastAsia" w:ascii="宋体" w:hAnsi="宋体" w:eastAsia="宋体" w:cs="宋体"/>
                <w:color w:val="000000"/>
                <w:kern w:val="0"/>
                <w:sz w:val="24"/>
                <w:szCs w:val="24"/>
                <w:lang w:val="en-US" w:eastAsia="zh-CN"/>
              </w:rPr>
              <w:t>18079</w:t>
            </w:r>
          </w:p>
        </w:tc>
        <w:tc>
          <w:tcPr>
            <w:tcW w:w="1040" w:type="dxa"/>
            <w:vMerge w:val="continue"/>
            <w:tcBorders>
              <w:tl2br w:val="nil"/>
              <w:tr2bl w:val="nil"/>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cantSplit/>
          <w:trHeight w:val="1039" w:hRule="atLeast"/>
        </w:trPr>
        <w:tc>
          <w:tcPr>
            <w:tcW w:w="954" w:type="dxa"/>
            <w:vMerge w:val="continue"/>
            <w:tcBorders>
              <w:tl2br w:val="nil"/>
              <w:tr2bl w:val="nil"/>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olor w:val="FF0000"/>
                <w:highlight w:val="none"/>
              </w:rPr>
            </w:pPr>
          </w:p>
        </w:tc>
        <w:tc>
          <w:tcPr>
            <w:tcW w:w="2942" w:type="dxa"/>
            <w:tcBorders>
              <w:tl2br w:val="nil"/>
              <w:tr2bl w:val="nil"/>
            </w:tcBorders>
            <w:noWrap w:val="0"/>
            <w:tcMar>
              <w:top w:w="0" w:type="dxa"/>
              <w:left w:w="108" w:type="dxa"/>
              <w:bottom w:w="0" w:type="dxa"/>
              <w:right w:w="108" w:type="dxa"/>
            </w:tcMar>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kern w:val="2"/>
                <w:sz w:val="21"/>
                <w:szCs w:val="21"/>
                <w:highlight w:val="none"/>
                <w:lang w:val="en-US" w:eastAsia="zh-CN" w:bidi="ar-SA"/>
              </w:rPr>
              <w:t>可编程线性直流电源</w:t>
            </w:r>
          </w:p>
        </w:tc>
        <w:tc>
          <w:tcPr>
            <w:tcW w:w="1747"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1</w:t>
            </w:r>
          </w:p>
        </w:tc>
        <w:tc>
          <w:tcPr>
            <w:tcW w:w="1853" w:type="dxa"/>
            <w:tcBorders>
              <w:tl2br w:val="nil"/>
              <w:tr2bl w:val="nil"/>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rPr>
              <w:t>4000</w:t>
            </w:r>
          </w:p>
        </w:tc>
        <w:tc>
          <w:tcPr>
            <w:tcW w:w="1252" w:type="dxa"/>
            <w:tcBorders>
              <w:tl2br w:val="nil"/>
              <w:tr2bl w:val="nil"/>
            </w:tcBorders>
            <w:noWrap w:val="0"/>
            <w:tcMar>
              <w:top w:w="0" w:type="dxa"/>
              <w:left w:w="108" w:type="dxa"/>
              <w:bottom w:w="0" w:type="dxa"/>
              <w:right w:w="108" w:type="dxa"/>
            </w:tcMar>
            <w:vAlign w:val="center"/>
          </w:tcPr>
          <w:p>
            <w:pPr>
              <w:widowControl/>
              <w:jc w:val="center"/>
              <w:rPr>
                <w:rFonts w:hint="eastAsia" w:ascii="宋体" w:hAnsi="宋体"/>
                <w:color w:val="auto"/>
                <w:highlight w:val="none"/>
              </w:rPr>
            </w:pPr>
            <w:r>
              <w:rPr>
                <w:rFonts w:hint="eastAsia" w:ascii="宋体" w:hAnsi="宋体" w:eastAsia="宋体" w:cs="宋体"/>
                <w:color w:val="000000"/>
                <w:kern w:val="0"/>
                <w:sz w:val="24"/>
                <w:szCs w:val="24"/>
                <w:lang w:val="en-US" w:eastAsia="zh-CN"/>
              </w:rPr>
              <w:t>4000</w:t>
            </w:r>
          </w:p>
        </w:tc>
        <w:tc>
          <w:tcPr>
            <w:tcW w:w="1040" w:type="dxa"/>
            <w:vMerge w:val="continue"/>
            <w:tcBorders>
              <w:tl2br w:val="nil"/>
              <w:tr2bl w:val="nil"/>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cantSplit/>
          <w:trHeight w:val="1039" w:hRule="atLeast"/>
        </w:trPr>
        <w:tc>
          <w:tcPr>
            <w:tcW w:w="954" w:type="dxa"/>
            <w:vMerge w:val="continue"/>
            <w:tcBorders>
              <w:tl2br w:val="nil"/>
              <w:tr2bl w:val="nil"/>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olor w:val="FF0000"/>
                <w:highlight w:val="none"/>
              </w:rPr>
            </w:pPr>
          </w:p>
        </w:tc>
        <w:tc>
          <w:tcPr>
            <w:tcW w:w="2942" w:type="dxa"/>
            <w:tcBorders>
              <w:tl2br w:val="nil"/>
              <w:tr2bl w:val="nil"/>
            </w:tcBorders>
            <w:noWrap w:val="0"/>
            <w:tcMar>
              <w:top w:w="0" w:type="dxa"/>
              <w:left w:w="108" w:type="dxa"/>
              <w:bottom w:w="0" w:type="dxa"/>
              <w:right w:w="108" w:type="dxa"/>
            </w:tcMar>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kern w:val="2"/>
                <w:sz w:val="21"/>
                <w:szCs w:val="21"/>
                <w:highlight w:val="none"/>
                <w:lang w:val="en-US" w:eastAsia="zh-CN" w:bidi="ar-SA"/>
              </w:rPr>
              <w:t>可编程电子负载</w:t>
            </w:r>
          </w:p>
        </w:tc>
        <w:tc>
          <w:tcPr>
            <w:tcW w:w="1747"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1</w:t>
            </w:r>
          </w:p>
        </w:tc>
        <w:tc>
          <w:tcPr>
            <w:tcW w:w="1853" w:type="dxa"/>
            <w:tcBorders>
              <w:tl2br w:val="nil"/>
              <w:tr2bl w:val="nil"/>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rPr>
              <w:t>5000</w:t>
            </w:r>
          </w:p>
        </w:tc>
        <w:tc>
          <w:tcPr>
            <w:tcW w:w="1252" w:type="dxa"/>
            <w:tcBorders>
              <w:tl2br w:val="nil"/>
              <w:tr2bl w:val="nil"/>
            </w:tcBorders>
            <w:noWrap w:val="0"/>
            <w:tcMar>
              <w:top w:w="0" w:type="dxa"/>
              <w:left w:w="108" w:type="dxa"/>
              <w:bottom w:w="0" w:type="dxa"/>
              <w:right w:w="108" w:type="dxa"/>
            </w:tcMar>
            <w:vAlign w:val="center"/>
          </w:tcPr>
          <w:p>
            <w:pPr>
              <w:widowControl/>
              <w:jc w:val="center"/>
              <w:rPr>
                <w:rFonts w:hint="eastAsia" w:ascii="宋体" w:hAnsi="宋体"/>
                <w:color w:val="auto"/>
                <w:highlight w:val="none"/>
              </w:rPr>
            </w:pPr>
            <w:r>
              <w:rPr>
                <w:rFonts w:hint="eastAsia" w:ascii="宋体" w:hAnsi="宋体" w:eastAsia="宋体" w:cs="宋体"/>
                <w:color w:val="000000"/>
                <w:kern w:val="0"/>
                <w:sz w:val="24"/>
                <w:szCs w:val="24"/>
                <w:lang w:val="en-US" w:eastAsia="zh-CN"/>
              </w:rPr>
              <w:t>5000</w:t>
            </w:r>
          </w:p>
        </w:tc>
        <w:tc>
          <w:tcPr>
            <w:tcW w:w="1040" w:type="dxa"/>
            <w:vMerge w:val="continue"/>
            <w:tcBorders>
              <w:tl2br w:val="nil"/>
              <w:tr2bl w:val="nil"/>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cantSplit/>
          <w:trHeight w:val="1039" w:hRule="atLeast"/>
        </w:trPr>
        <w:tc>
          <w:tcPr>
            <w:tcW w:w="954" w:type="dxa"/>
            <w:vMerge w:val="continue"/>
            <w:tcBorders>
              <w:tl2br w:val="nil"/>
              <w:tr2bl w:val="nil"/>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olor w:val="FF0000"/>
                <w:highlight w:val="none"/>
              </w:rPr>
            </w:pPr>
          </w:p>
        </w:tc>
        <w:tc>
          <w:tcPr>
            <w:tcW w:w="2942" w:type="dxa"/>
            <w:tcBorders>
              <w:tl2br w:val="nil"/>
              <w:tr2bl w:val="nil"/>
            </w:tcBorders>
            <w:noWrap w:val="0"/>
            <w:tcMar>
              <w:top w:w="0" w:type="dxa"/>
              <w:left w:w="108" w:type="dxa"/>
              <w:bottom w:w="0" w:type="dxa"/>
              <w:right w:w="108" w:type="dxa"/>
            </w:tcMar>
            <w:vAlign w:val="center"/>
          </w:tcPr>
          <w:p>
            <w:pPr>
              <w:snapToGrid w:val="0"/>
              <w:jc w:val="center"/>
              <w:rPr>
                <w:rFonts w:hint="eastAsia" w:ascii="宋体" w:hAnsi="宋体" w:eastAsia="宋体" w:cs="Times New Roman"/>
                <w:kern w:val="2"/>
                <w:sz w:val="21"/>
                <w:szCs w:val="21"/>
                <w:highlight w:val="none"/>
                <w:lang w:val="en-US" w:eastAsia="zh-CN" w:bidi="ar-SA"/>
              </w:rPr>
            </w:pPr>
            <w:r>
              <w:rPr>
                <w:rFonts w:hint="eastAsia" w:ascii="宋体" w:hAnsi="宋体"/>
                <w:kern w:val="2"/>
                <w:sz w:val="21"/>
                <w:szCs w:val="21"/>
                <w:highlight w:val="none"/>
                <w:lang w:val="en-US" w:eastAsia="zh-CN" w:bidi="ar-SA"/>
              </w:rPr>
              <w:t>台式万用表</w:t>
            </w:r>
          </w:p>
        </w:tc>
        <w:tc>
          <w:tcPr>
            <w:tcW w:w="1747"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1</w:t>
            </w:r>
          </w:p>
        </w:tc>
        <w:tc>
          <w:tcPr>
            <w:tcW w:w="1853" w:type="dxa"/>
            <w:tcBorders>
              <w:tl2br w:val="nil"/>
              <w:tr2bl w:val="nil"/>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7000</w:t>
            </w:r>
          </w:p>
        </w:tc>
        <w:tc>
          <w:tcPr>
            <w:tcW w:w="1252" w:type="dxa"/>
            <w:tcBorders>
              <w:tl2br w:val="nil"/>
              <w:tr2bl w:val="nil"/>
            </w:tcBorders>
            <w:noWrap w:val="0"/>
            <w:tcMar>
              <w:top w:w="0" w:type="dxa"/>
              <w:left w:w="108" w:type="dxa"/>
              <w:bottom w:w="0" w:type="dxa"/>
              <w:right w:w="108" w:type="dxa"/>
            </w:tcMar>
            <w:vAlign w:val="center"/>
          </w:tcPr>
          <w:p>
            <w:pPr>
              <w:widowControl/>
              <w:jc w:val="center"/>
              <w:rPr>
                <w:rFonts w:hint="eastAsia" w:ascii="宋体" w:hAnsi="宋体"/>
                <w:color w:val="auto"/>
                <w:highlight w:val="none"/>
              </w:rPr>
            </w:pPr>
            <w:r>
              <w:rPr>
                <w:rFonts w:hint="eastAsia" w:ascii="宋体" w:hAnsi="宋体" w:eastAsia="宋体" w:cs="宋体"/>
                <w:color w:val="000000"/>
                <w:kern w:val="0"/>
                <w:sz w:val="24"/>
                <w:szCs w:val="24"/>
                <w:lang w:val="en-US" w:eastAsia="zh-CN" w:bidi="ar-SA"/>
              </w:rPr>
              <w:t>7000</w:t>
            </w:r>
          </w:p>
        </w:tc>
        <w:tc>
          <w:tcPr>
            <w:tcW w:w="1040" w:type="dxa"/>
            <w:vMerge w:val="continue"/>
            <w:tcBorders>
              <w:tl2br w:val="nil"/>
              <w:tr2bl w:val="nil"/>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auto"/>
                <w:highlight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cantSplit/>
          <w:trHeight w:val="1039" w:hRule="atLeast"/>
        </w:trPr>
        <w:tc>
          <w:tcPr>
            <w:tcW w:w="954" w:type="dxa"/>
            <w:vMerge w:val="continue"/>
            <w:tcBorders>
              <w:tl2br w:val="nil"/>
              <w:tr2bl w:val="nil"/>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olor w:val="FF0000"/>
                <w:highlight w:val="none"/>
              </w:rPr>
            </w:pPr>
          </w:p>
        </w:tc>
        <w:tc>
          <w:tcPr>
            <w:tcW w:w="2942" w:type="dxa"/>
            <w:tcBorders>
              <w:tl2br w:val="nil"/>
              <w:tr2bl w:val="nil"/>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kern w:val="2"/>
                <w:sz w:val="21"/>
                <w:szCs w:val="21"/>
                <w:highlight w:val="none"/>
                <w:lang w:val="en-US" w:eastAsia="zh-CN" w:bidi="ar-SA"/>
              </w:rPr>
              <w:t>数字示波器</w:t>
            </w:r>
          </w:p>
        </w:tc>
        <w:tc>
          <w:tcPr>
            <w:tcW w:w="1747" w:type="dxa"/>
            <w:tcBorders>
              <w:tl2br w:val="nil"/>
              <w:tr2bl w:val="nil"/>
            </w:tcBorders>
            <w:noWrap w:val="0"/>
            <w:tcMar>
              <w:top w:w="0" w:type="dxa"/>
              <w:left w:w="108" w:type="dxa"/>
              <w:bottom w:w="0" w:type="dxa"/>
              <w:right w:w="108" w:type="dxa"/>
            </w:tcMar>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1</w:t>
            </w:r>
          </w:p>
        </w:tc>
        <w:tc>
          <w:tcPr>
            <w:tcW w:w="1853" w:type="dxa"/>
            <w:tcBorders>
              <w:tl2br w:val="nil"/>
              <w:tr2bl w:val="nil"/>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339</w:t>
            </w:r>
            <w:r>
              <w:rPr>
                <w:rFonts w:hint="eastAsia" w:ascii="宋体" w:hAnsi="宋体" w:eastAsia="宋体" w:cs="宋体"/>
                <w:color w:val="000000"/>
                <w:kern w:val="0"/>
                <w:sz w:val="24"/>
                <w:szCs w:val="24"/>
                <w:lang w:val="en-US" w:eastAsia="zh-CN"/>
              </w:rPr>
              <w:t>00</w:t>
            </w:r>
          </w:p>
        </w:tc>
        <w:tc>
          <w:tcPr>
            <w:tcW w:w="1252" w:type="dxa"/>
            <w:tcBorders>
              <w:tl2br w:val="nil"/>
              <w:tr2bl w:val="nil"/>
            </w:tcBorders>
            <w:noWrap w:val="0"/>
            <w:tcMar>
              <w:top w:w="0" w:type="dxa"/>
              <w:left w:w="108" w:type="dxa"/>
              <w:bottom w:w="0" w:type="dxa"/>
              <w:right w:w="108" w:type="dxa"/>
            </w:tcMar>
            <w:vAlign w:val="center"/>
          </w:tcPr>
          <w:p>
            <w:pPr>
              <w:widowControl/>
              <w:jc w:val="center"/>
              <w:rPr>
                <w:rFonts w:hint="eastAsia" w:ascii="宋体" w:hAnsi="宋体"/>
                <w:color w:val="auto"/>
                <w:highlight w:val="none"/>
              </w:rPr>
            </w:pPr>
            <w:r>
              <w:rPr>
                <w:rFonts w:hint="eastAsia" w:ascii="宋体" w:hAnsi="宋体" w:eastAsia="宋体" w:cs="宋体"/>
                <w:color w:val="000000"/>
                <w:kern w:val="0"/>
                <w:sz w:val="24"/>
                <w:szCs w:val="24"/>
              </w:rPr>
              <w:t>339</w:t>
            </w:r>
            <w:r>
              <w:rPr>
                <w:rFonts w:hint="eastAsia" w:ascii="宋体" w:hAnsi="宋体" w:eastAsia="宋体" w:cs="宋体"/>
                <w:color w:val="000000"/>
                <w:kern w:val="0"/>
                <w:sz w:val="24"/>
                <w:szCs w:val="24"/>
                <w:lang w:val="en-US" w:eastAsia="zh-CN"/>
              </w:rPr>
              <w:t>00</w:t>
            </w:r>
          </w:p>
        </w:tc>
        <w:tc>
          <w:tcPr>
            <w:tcW w:w="1040" w:type="dxa"/>
            <w:vMerge w:val="continue"/>
            <w:tcBorders>
              <w:tl2br w:val="nil"/>
              <w:tr2bl w:val="nil"/>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auto"/>
                <w:highlight w:val="none"/>
              </w:rPr>
            </w:pPr>
          </w:p>
        </w:tc>
      </w:tr>
    </w:tbl>
    <w:p>
      <w:pPr>
        <w:keepNext w:val="0"/>
        <w:keepLines w:val="0"/>
        <w:pageBreakBefore w:val="0"/>
        <w:widowControl w:val="0"/>
        <w:kinsoku/>
        <w:wordWrap/>
        <w:overflowPunct/>
        <w:topLinePunct w:val="0"/>
        <w:autoSpaceDE/>
        <w:autoSpaceDN/>
        <w:bidi w:val="0"/>
        <w:adjustRightInd/>
        <w:snapToGrid/>
        <w:spacing w:after="157" w:afterLines="50" w:line="440" w:lineRule="exact"/>
        <w:ind w:firstLine="480" w:firstLineChars="200"/>
        <w:jc w:val="both"/>
        <w:textAlignment w:val="auto"/>
        <w:outlineLvl w:val="0"/>
        <w:rPr>
          <w:rFonts w:hint="eastAsia" w:ascii="宋体" w:hAnsi="宋体" w:eastAsia="宋体" w:cs="Times New Roman"/>
          <w:color w:val="FF0000"/>
          <w:kern w:val="2"/>
          <w:sz w:val="24"/>
          <w:szCs w:val="24"/>
          <w:highlight w:val="none"/>
          <w:lang w:val="en-US" w:eastAsia="zh-CN" w:bidi="ar-SA"/>
        </w:rPr>
      </w:pPr>
      <w:r>
        <w:rPr>
          <w:rFonts w:hint="eastAsia" w:ascii="宋体" w:hAnsi="宋体" w:eastAsia="宋体" w:cs="Times New Roman"/>
          <w:color w:val="FF0000"/>
          <w:kern w:val="2"/>
          <w:sz w:val="24"/>
          <w:szCs w:val="24"/>
          <w:highlight w:val="none"/>
          <w:lang w:val="en-US" w:eastAsia="zh-CN" w:bidi="ar-SA"/>
        </w:rPr>
        <w:t>采购需求</w:t>
      </w:r>
      <w:bookmarkEnd w:id="42"/>
      <w:bookmarkEnd w:id="43"/>
      <w:bookmarkEnd w:id="44"/>
      <w:r>
        <w:rPr>
          <w:rFonts w:hint="eastAsia" w:ascii="宋体" w:hAnsi="宋体" w:cs="Times New Roman"/>
          <w:color w:val="FF0000"/>
          <w:kern w:val="2"/>
          <w:sz w:val="24"/>
          <w:szCs w:val="24"/>
          <w:highlight w:val="none"/>
          <w:lang w:val="en-US" w:eastAsia="zh-CN" w:bidi="ar-SA"/>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Times New Roman"/>
          <w:color w:val="auto"/>
          <w:kern w:val="2"/>
          <w:sz w:val="24"/>
          <w:szCs w:val="24"/>
          <w:highlight w:val="none"/>
          <w:u w:val="single"/>
          <w:lang w:val="en-US" w:eastAsia="zh-CN" w:bidi="ar-SA"/>
        </w:rPr>
      </w:pPr>
      <w:r>
        <w:rPr>
          <w:rFonts w:hint="eastAsia" w:ascii="宋体" w:hAnsi="宋体"/>
          <w:color w:val="auto"/>
          <w:sz w:val="24"/>
          <w:szCs w:val="24"/>
          <w:highlight w:val="none"/>
        </w:rPr>
        <w:t>注：本项目采购为一个完整合同包，报价供应商必须对该合同包内所有货物</w:t>
      </w:r>
      <w:r>
        <w:rPr>
          <w:rFonts w:hint="eastAsia" w:ascii="宋体" w:hAnsi="宋体"/>
          <w:color w:val="auto"/>
          <w:sz w:val="24"/>
          <w:szCs w:val="24"/>
          <w:highlight w:val="none"/>
          <w:lang w:eastAsia="zh-CN"/>
        </w:rPr>
        <w:t>报价</w:t>
      </w:r>
      <w:r>
        <w:rPr>
          <w:rFonts w:hint="eastAsia" w:ascii="宋体" w:hAnsi="宋体"/>
          <w:color w:val="auto"/>
          <w:sz w:val="24"/>
          <w:szCs w:val="24"/>
          <w:highlight w:val="none"/>
        </w:rPr>
        <w:t>时必须完整。评标与授标以合同包为单位。成交供应商不得转包他人，若发现转包，采购人有权终止协议,并由成交供应商承担相关责任。</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default" w:ascii="宋体" w:hAnsi="宋体" w:cs="宋体"/>
          <w:b w:val="0"/>
          <w:bCs w:val="0"/>
          <w:color w:val="auto"/>
          <w:kern w:val="0"/>
          <w:sz w:val="24"/>
          <w:szCs w:val="24"/>
          <w:highlight w:val="none"/>
          <w:shd w:val="clear" w:color="auto" w:fill="FFFFFF"/>
          <w:lang w:val="en-US"/>
        </w:rPr>
      </w:pPr>
      <w:r>
        <w:rPr>
          <w:rFonts w:hint="eastAsia" w:ascii="宋体" w:hAnsi="宋体" w:cs="宋体"/>
          <w:b w:val="0"/>
          <w:bCs w:val="0"/>
          <w:color w:val="auto"/>
          <w:kern w:val="0"/>
          <w:sz w:val="24"/>
          <w:szCs w:val="24"/>
          <w:highlight w:val="none"/>
          <w:shd w:val="clear" w:color="auto" w:fill="FFFFFF"/>
          <w:lang w:eastAsia="zh-CN"/>
        </w:rPr>
        <w:t>二</w:t>
      </w:r>
      <w:r>
        <w:rPr>
          <w:rFonts w:hint="eastAsia" w:ascii="宋体" w:hAnsi="宋体" w:cs="宋体"/>
          <w:color w:val="auto"/>
          <w:sz w:val="24"/>
          <w:szCs w:val="24"/>
          <w:highlight w:val="none"/>
        </w:rPr>
        <w:t>、</w:t>
      </w:r>
      <w:r>
        <w:rPr>
          <w:rFonts w:hint="eastAsia" w:ascii="宋体" w:hAnsi="宋体" w:cs="宋体"/>
          <w:b w:val="0"/>
          <w:bCs w:val="0"/>
          <w:color w:val="auto"/>
          <w:kern w:val="0"/>
          <w:sz w:val="24"/>
          <w:szCs w:val="24"/>
          <w:highlight w:val="none"/>
          <w:shd w:val="clear" w:color="auto" w:fill="FFFFFF"/>
        </w:rPr>
        <w:t>报价供应商的资格要求</w:t>
      </w:r>
      <w:r>
        <w:rPr>
          <w:rFonts w:hint="eastAsia" w:ascii="宋体" w:hAnsi="宋体" w:cs="宋体"/>
          <w:b w:val="0"/>
          <w:bCs w:val="0"/>
          <w:color w:val="auto"/>
          <w:kern w:val="0"/>
          <w:sz w:val="24"/>
          <w:szCs w:val="24"/>
          <w:highlight w:val="none"/>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1、</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须符合《中华人民共和国政府采购法》第二十二条规定条件且无行贿犯罪记录（须提供相关证明文件或书面声明）</w:t>
      </w:r>
      <w:r>
        <w:rPr>
          <w:rFonts w:hint="eastAsia" w:ascii="宋体" w:hAnsi="宋体"/>
          <w:color w:val="auto"/>
          <w:sz w:val="24"/>
          <w:highlight w:val="none"/>
        </w:rPr>
        <w:t>；</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kern w:val="0"/>
          <w:sz w:val="24"/>
          <w:szCs w:val="24"/>
          <w:highlight w:val="none"/>
          <w:shd w:val="clear" w:color="auto" w:fill="FFFFFF"/>
        </w:rPr>
      </w:pP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shd w:val="clear" w:color="auto" w:fill="FFFFFF"/>
        </w:rPr>
        <w:t>本项目不接受联合体形式参与</w:t>
      </w:r>
      <w:r>
        <w:rPr>
          <w:rFonts w:hint="eastAsia" w:ascii="宋体" w:hAnsi="宋体" w:cs="宋体"/>
          <w:color w:val="auto"/>
          <w:kern w:val="0"/>
          <w:sz w:val="24"/>
          <w:szCs w:val="24"/>
          <w:highlight w:val="none"/>
          <w:shd w:val="clear" w:color="auto" w:fill="FFFFFF"/>
          <w:lang w:eastAsia="zh-CN"/>
        </w:rPr>
        <w:t>报价</w:t>
      </w:r>
      <w:r>
        <w:rPr>
          <w:rFonts w:hint="eastAsia" w:ascii="宋体" w:hAnsi="宋体" w:cs="宋体"/>
          <w:color w:val="auto"/>
          <w:kern w:val="0"/>
          <w:sz w:val="24"/>
          <w:szCs w:val="24"/>
          <w:highlight w:val="none"/>
          <w:shd w:val="clear" w:color="auto" w:fill="FFFFFF"/>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Segoe UI" w:hAnsi="Segoe UI" w:eastAsia="宋体" w:cs="Segoe UI"/>
          <w:i w:val="0"/>
          <w:iCs w:val="0"/>
          <w:caps w:val="0"/>
          <w:color w:val="717171"/>
          <w:spacing w:val="0"/>
          <w:sz w:val="21"/>
          <w:szCs w:val="21"/>
          <w:shd w:val="clear" w:fill="FFFFFF"/>
          <w:lang w:eastAsia="zh-CN"/>
        </w:rPr>
      </w:pPr>
      <w:r>
        <w:rPr>
          <w:rFonts w:hint="eastAsia" w:ascii="宋体" w:hAnsi="宋体"/>
          <w:i w:val="0"/>
          <w:iCs w:val="0"/>
          <w:color w:val="auto"/>
          <w:sz w:val="24"/>
          <w:szCs w:val="24"/>
          <w:highlight w:val="none"/>
          <w:lang w:val="en-US" w:eastAsia="zh-CN"/>
        </w:rPr>
        <w:t>三</w:t>
      </w:r>
      <w:r>
        <w:rPr>
          <w:rFonts w:hint="eastAsia" w:ascii="宋体" w:hAnsi="宋体"/>
          <w:color w:val="auto"/>
          <w:sz w:val="24"/>
          <w:szCs w:val="24"/>
          <w:highlight w:val="none"/>
        </w:rPr>
        <w:t>、提交报价响应文件截止时间</w:t>
      </w:r>
      <w:r>
        <w:rPr>
          <w:rFonts w:hint="eastAsia" w:ascii="宋体" w:hAnsi="宋体"/>
          <w:color w:val="FF0000"/>
          <w:sz w:val="24"/>
          <w:szCs w:val="24"/>
          <w:highlight w:val="none"/>
          <w:u w:val="single"/>
          <w:lang w:val="en-US" w:eastAsia="zh-CN"/>
        </w:rPr>
        <w:t xml:space="preserve">2023   </w:t>
      </w:r>
      <w:r>
        <w:rPr>
          <w:rFonts w:hint="eastAsia" w:ascii="宋体" w:hAnsi="宋体"/>
          <w:color w:val="FF0000"/>
          <w:sz w:val="24"/>
          <w:szCs w:val="24"/>
          <w:highlight w:val="none"/>
        </w:rPr>
        <w:t>年</w:t>
      </w:r>
      <w:r>
        <w:rPr>
          <w:rFonts w:hint="eastAsia" w:ascii="宋体" w:hAnsi="宋体"/>
          <w:color w:val="FF0000"/>
          <w:sz w:val="24"/>
          <w:szCs w:val="24"/>
          <w:highlight w:val="none"/>
          <w:u w:val="single"/>
          <w:lang w:val="en-US" w:eastAsia="zh-CN"/>
        </w:rPr>
        <w:t xml:space="preserve">  11  </w:t>
      </w:r>
      <w:r>
        <w:rPr>
          <w:rFonts w:hint="eastAsia" w:ascii="宋体" w:hAnsi="宋体"/>
          <w:color w:val="FF0000"/>
          <w:sz w:val="24"/>
          <w:szCs w:val="24"/>
          <w:highlight w:val="none"/>
        </w:rPr>
        <w:t>月</w:t>
      </w:r>
      <w:r>
        <w:rPr>
          <w:rFonts w:hint="eastAsia" w:ascii="宋体" w:hAnsi="宋体"/>
          <w:color w:val="FF0000"/>
          <w:sz w:val="24"/>
          <w:szCs w:val="24"/>
          <w:highlight w:val="none"/>
          <w:u w:val="single"/>
          <w:lang w:val="en-US" w:eastAsia="zh-CN"/>
        </w:rPr>
        <w:t xml:space="preserve">  22  </w:t>
      </w:r>
      <w:r>
        <w:rPr>
          <w:rFonts w:hint="eastAsia" w:ascii="宋体" w:hAnsi="宋体"/>
          <w:color w:val="FF0000"/>
          <w:sz w:val="24"/>
          <w:szCs w:val="24"/>
          <w:highlight w:val="none"/>
        </w:rPr>
        <w:t>日</w:t>
      </w:r>
      <w:r>
        <w:rPr>
          <w:rFonts w:hint="eastAsia" w:ascii="宋体" w:hAnsi="宋体"/>
          <w:color w:val="FF0000"/>
          <w:sz w:val="24"/>
          <w:szCs w:val="24"/>
          <w:highlight w:val="none"/>
          <w:u w:val="single"/>
          <w:lang w:val="en-US" w:eastAsia="zh-CN"/>
        </w:rPr>
        <w:t xml:space="preserve">  17   </w:t>
      </w:r>
      <w:r>
        <w:rPr>
          <w:rFonts w:hint="eastAsia" w:ascii="宋体" w:hAnsi="宋体"/>
          <w:color w:val="FF0000"/>
          <w:sz w:val="24"/>
          <w:szCs w:val="24"/>
          <w:highlight w:val="none"/>
        </w:rPr>
        <w:t>时</w:t>
      </w:r>
      <w:r>
        <w:rPr>
          <w:rFonts w:ascii="宋体" w:hAnsi="宋体"/>
          <w:color w:val="auto"/>
          <w:sz w:val="24"/>
          <w:szCs w:val="24"/>
          <w:highlight w:val="none"/>
        </w:rPr>
        <w:t>(</w:t>
      </w:r>
      <w:r>
        <w:rPr>
          <w:rFonts w:hint="eastAsia" w:ascii="宋体" w:hAnsi="宋体"/>
          <w:color w:val="auto"/>
          <w:sz w:val="24"/>
          <w:szCs w:val="24"/>
          <w:highlight w:val="none"/>
        </w:rPr>
        <w:t>北京时间)。（从询价</w:t>
      </w:r>
      <w:r>
        <w:rPr>
          <w:rFonts w:hint="eastAsia" w:ascii="宋体" w:hAnsi="宋体"/>
          <w:color w:val="auto"/>
          <w:sz w:val="24"/>
          <w:szCs w:val="24"/>
          <w:highlight w:val="none"/>
          <w:lang w:eastAsia="zh-CN"/>
        </w:rPr>
        <w:t>公告发布</w:t>
      </w:r>
      <w:r>
        <w:rPr>
          <w:rFonts w:hint="eastAsia" w:ascii="宋体" w:hAnsi="宋体"/>
          <w:color w:val="auto"/>
          <w:sz w:val="24"/>
          <w:szCs w:val="24"/>
          <w:highlight w:val="none"/>
        </w:rPr>
        <w:t>之日起至供应商提交响应文件截止之日止不得少于3个工作日）</w:t>
      </w:r>
      <w:r>
        <w:rPr>
          <w:rFonts w:hint="eastAsia" w:ascii="宋体" w:hAnsi="宋体"/>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lang w:val="en-US" w:eastAsia="zh-CN"/>
        </w:rPr>
        <w:t>四</w:t>
      </w:r>
      <w:r>
        <w:rPr>
          <w:rFonts w:hint="eastAsia" w:ascii="宋体" w:hAnsi="宋体"/>
          <w:color w:val="auto"/>
          <w:sz w:val="24"/>
          <w:szCs w:val="24"/>
          <w:highlight w:val="none"/>
        </w:rPr>
        <w:t>、</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时间：</w:t>
      </w:r>
      <w:r>
        <w:rPr>
          <w:rFonts w:hint="eastAsia" w:ascii="宋体" w:hAnsi="宋体"/>
          <w:color w:val="FF0000"/>
          <w:sz w:val="24"/>
          <w:szCs w:val="24"/>
          <w:highlight w:val="none"/>
          <w:u w:val="single"/>
          <w:lang w:val="en-US" w:eastAsia="zh-CN"/>
        </w:rPr>
        <w:t xml:space="preserve">2023   </w:t>
      </w:r>
      <w:r>
        <w:rPr>
          <w:rFonts w:hint="eastAsia" w:ascii="宋体" w:hAnsi="宋体"/>
          <w:color w:val="FF0000"/>
          <w:sz w:val="24"/>
          <w:szCs w:val="24"/>
          <w:highlight w:val="none"/>
        </w:rPr>
        <w:t>年</w:t>
      </w:r>
      <w:r>
        <w:rPr>
          <w:rFonts w:hint="eastAsia" w:ascii="宋体" w:hAnsi="宋体"/>
          <w:color w:val="FF0000"/>
          <w:sz w:val="24"/>
          <w:szCs w:val="24"/>
          <w:highlight w:val="none"/>
          <w:u w:val="single"/>
          <w:lang w:val="en-US" w:eastAsia="zh-CN"/>
        </w:rPr>
        <w:t xml:space="preserve">  11  </w:t>
      </w:r>
      <w:r>
        <w:rPr>
          <w:rFonts w:hint="eastAsia" w:ascii="宋体" w:hAnsi="宋体"/>
          <w:color w:val="FF0000"/>
          <w:sz w:val="24"/>
          <w:szCs w:val="24"/>
          <w:highlight w:val="none"/>
        </w:rPr>
        <w:t>月</w:t>
      </w:r>
      <w:r>
        <w:rPr>
          <w:rFonts w:hint="eastAsia" w:ascii="宋体" w:hAnsi="宋体"/>
          <w:color w:val="FF0000"/>
          <w:sz w:val="24"/>
          <w:szCs w:val="24"/>
          <w:highlight w:val="none"/>
          <w:u w:val="single"/>
          <w:lang w:val="en-US" w:eastAsia="zh-CN"/>
        </w:rPr>
        <w:t xml:space="preserve">  22  </w:t>
      </w:r>
      <w:r>
        <w:rPr>
          <w:rFonts w:hint="eastAsia" w:ascii="宋体" w:hAnsi="宋体"/>
          <w:color w:val="FF0000"/>
          <w:sz w:val="24"/>
          <w:szCs w:val="24"/>
          <w:highlight w:val="none"/>
        </w:rPr>
        <w:t>日</w:t>
      </w:r>
      <w:r>
        <w:rPr>
          <w:rFonts w:hint="eastAsia" w:ascii="宋体" w:hAnsi="宋体"/>
          <w:color w:val="FF0000"/>
          <w:sz w:val="24"/>
          <w:szCs w:val="24"/>
          <w:highlight w:val="none"/>
          <w:u w:val="single"/>
          <w:lang w:val="en-US" w:eastAsia="zh-CN"/>
        </w:rPr>
        <w:t xml:space="preserve">  17   </w:t>
      </w:r>
      <w:r>
        <w:rPr>
          <w:rFonts w:hint="eastAsia" w:ascii="宋体" w:hAnsi="宋体"/>
          <w:color w:val="FF0000"/>
          <w:sz w:val="24"/>
          <w:szCs w:val="24"/>
          <w:highlight w:val="none"/>
        </w:rPr>
        <w:t>时</w:t>
      </w:r>
      <w:r>
        <w:rPr>
          <w:rFonts w:ascii="宋体" w:hAnsi="宋体"/>
          <w:color w:val="auto"/>
          <w:sz w:val="24"/>
          <w:szCs w:val="24"/>
          <w:highlight w:val="none"/>
        </w:rPr>
        <w:t>(</w:t>
      </w:r>
      <w:r>
        <w:rPr>
          <w:rFonts w:hint="eastAsia" w:ascii="宋体" w:hAnsi="宋体"/>
          <w:color w:val="auto"/>
          <w:sz w:val="24"/>
          <w:szCs w:val="24"/>
          <w:highlight w:val="none"/>
        </w:rPr>
        <w:t>北京时间)</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i w:val="0"/>
          <w:iCs w:val="0"/>
          <w:color w:val="FF0000"/>
          <w:sz w:val="24"/>
          <w:szCs w:val="24"/>
          <w:highlight w:val="none"/>
          <w:u w:val="single"/>
          <w:lang w:val="en-US" w:eastAsia="zh-CN"/>
        </w:rPr>
      </w:pPr>
      <w:r>
        <w:rPr>
          <w:rFonts w:hint="eastAsia" w:ascii="宋体" w:hAnsi="宋体" w:cs="宋体"/>
          <w:color w:val="auto"/>
          <w:sz w:val="24"/>
          <w:szCs w:val="24"/>
          <w:highlight w:val="none"/>
          <w:lang w:val="en-US" w:eastAsia="zh-CN"/>
        </w:rPr>
        <w:t>五</w:t>
      </w:r>
      <w:r>
        <w:rPr>
          <w:rFonts w:hint="eastAsia" w:ascii="宋体" w:hAnsi="宋体"/>
          <w:color w:val="auto"/>
          <w:sz w:val="24"/>
          <w:szCs w:val="24"/>
          <w:highlight w:val="none"/>
        </w:rPr>
        <w:t>、报价响应文件递交及</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地点：</w:t>
      </w:r>
      <w:r>
        <w:rPr>
          <w:rFonts w:ascii="宋体" w:hAnsi="宋体" w:eastAsia="宋体" w:cs="宋体"/>
          <w:color w:val="auto"/>
          <w:sz w:val="24"/>
          <w:szCs w:val="24"/>
        </w:rPr>
        <w:t>泉州市丰泽区东海大街398号</w:t>
      </w:r>
      <w:r>
        <w:rPr>
          <w:rFonts w:hint="eastAsia" w:ascii="宋体" w:hAnsi="宋体"/>
          <w:i w:val="0"/>
          <w:iCs w:val="0"/>
          <w:color w:val="auto"/>
          <w:sz w:val="24"/>
          <w:szCs w:val="24"/>
          <w:highlight w:val="none"/>
          <w:u w:val="none"/>
          <w:lang w:val="en-US" w:eastAsia="zh-CN"/>
        </w:rPr>
        <w:t>泉州师范学院</w:t>
      </w:r>
      <w:r>
        <w:rPr>
          <w:rFonts w:hint="eastAsia" w:ascii="宋体" w:hAnsi="宋体"/>
          <w:i w:val="0"/>
          <w:iCs w:val="0"/>
          <w:color w:val="auto"/>
          <w:sz w:val="24"/>
          <w:szCs w:val="24"/>
          <w:highlight w:val="none"/>
          <w:u w:val="single"/>
          <w:lang w:val="en-US" w:eastAsia="zh-CN"/>
        </w:rPr>
        <w:t xml:space="preserve">  </w:t>
      </w:r>
      <w:r>
        <w:rPr>
          <w:rFonts w:hint="eastAsia" w:ascii="宋体" w:hAnsi="宋体"/>
          <w:i w:val="0"/>
          <w:iCs w:val="0"/>
          <w:color w:val="FF0000"/>
          <w:sz w:val="24"/>
          <w:szCs w:val="24"/>
          <w:highlight w:val="none"/>
          <w:u w:val="single"/>
          <w:lang w:val="en-US" w:eastAsia="zh-CN"/>
        </w:rPr>
        <w:t xml:space="preserve">千墅205 </w:t>
      </w:r>
      <w:r>
        <w:rPr>
          <w:rFonts w:hint="eastAsia" w:ascii="宋体" w:hAnsi="宋体"/>
          <w:i w:val="0"/>
          <w:iCs w:val="0"/>
          <w:color w:val="FF0000"/>
          <w:sz w:val="24"/>
          <w:szCs w:val="24"/>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szCs w:val="24"/>
          <w:highlight w:val="none"/>
        </w:rPr>
      </w:pPr>
      <w:r>
        <w:rPr>
          <w:rFonts w:hint="eastAsia" w:ascii="宋体" w:hAnsi="宋体" w:cs="宋体"/>
          <w:color w:val="auto"/>
          <w:sz w:val="24"/>
          <w:szCs w:val="24"/>
          <w:highlight w:val="none"/>
          <w:lang w:eastAsia="zh-CN"/>
        </w:rPr>
        <w:t>六</w:t>
      </w:r>
      <w:r>
        <w:rPr>
          <w:rFonts w:hint="eastAsia" w:ascii="宋体" w:hAnsi="宋体" w:cs="宋体"/>
          <w:b w:val="0"/>
          <w:bCs w:val="0"/>
          <w:color w:val="auto"/>
          <w:kern w:val="0"/>
          <w:sz w:val="24"/>
          <w:szCs w:val="24"/>
          <w:highlight w:val="none"/>
          <w:shd w:val="clear" w:color="auto" w:fill="FFFFFF"/>
          <w:lang w:eastAsia="zh-CN"/>
        </w:rPr>
        <w:t>、</w:t>
      </w:r>
      <w:r>
        <w:rPr>
          <w:rFonts w:hint="eastAsia" w:ascii="宋体" w:hAnsi="宋体"/>
          <w:color w:val="auto"/>
          <w:sz w:val="24"/>
          <w:szCs w:val="24"/>
          <w:highlight w:val="none"/>
        </w:rPr>
        <w:t>凡对本次招标有疑义的，请以信函、电话、传真或来人与我</w:t>
      </w:r>
      <w:r>
        <w:rPr>
          <w:rFonts w:hint="eastAsia" w:ascii="宋体" w:hAnsi="宋体"/>
          <w:color w:val="auto"/>
          <w:sz w:val="24"/>
          <w:szCs w:val="24"/>
          <w:highlight w:val="none"/>
          <w:lang w:val="en-US" w:eastAsia="zh-CN"/>
        </w:rPr>
        <w:t>校</w:t>
      </w:r>
      <w:r>
        <w:rPr>
          <w:rFonts w:hint="eastAsia" w:ascii="宋体" w:hAnsi="宋体"/>
          <w:color w:val="auto"/>
          <w:sz w:val="24"/>
          <w:szCs w:val="24"/>
          <w:highlight w:val="none"/>
        </w:rPr>
        <w:t>联系，联系人：</w:t>
      </w:r>
      <w:r>
        <w:rPr>
          <w:rFonts w:hint="eastAsia" w:ascii="宋体" w:hAnsi="宋体"/>
          <w:color w:val="FF0000"/>
          <w:sz w:val="24"/>
          <w:szCs w:val="24"/>
          <w:highlight w:val="none"/>
          <w:u w:val="single"/>
          <w:lang w:val="en-US" w:eastAsia="zh-CN"/>
        </w:rPr>
        <w:t xml:space="preserve"> 周伯萌    </w:t>
      </w:r>
      <w:r>
        <w:rPr>
          <w:rFonts w:hint="eastAsia" w:ascii="宋体" w:hAnsi="宋体"/>
          <w:color w:val="FF0000"/>
          <w:sz w:val="24"/>
          <w:szCs w:val="24"/>
          <w:highlight w:val="none"/>
          <w:lang w:val="en-US" w:eastAsia="zh-CN"/>
        </w:rPr>
        <w:t>，</w:t>
      </w:r>
      <w:r>
        <w:rPr>
          <w:rFonts w:hint="eastAsia" w:ascii="宋体" w:hAnsi="宋体"/>
          <w:color w:val="auto"/>
          <w:sz w:val="24"/>
          <w:szCs w:val="24"/>
          <w:highlight w:val="none"/>
        </w:rPr>
        <w:t>联系电话：</w:t>
      </w:r>
      <w:r>
        <w:rPr>
          <w:rFonts w:hint="eastAsia" w:ascii="宋体" w:hAnsi="宋体" w:cs="宋体"/>
          <w:color w:val="FF0000"/>
          <w:sz w:val="24"/>
          <w:szCs w:val="24"/>
          <w:u w:val="single"/>
          <w:lang w:val="en-US" w:eastAsia="zh-CN"/>
        </w:rPr>
        <w:t xml:space="preserve"> 13799858883 </w:t>
      </w:r>
    </w:p>
    <w:p>
      <w:pPr>
        <w:pStyle w:val="16"/>
        <w:keepNext w:val="0"/>
        <w:keepLines w:val="0"/>
        <w:pageBreakBefore w:val="0"/>
        <w:kinsoku/>
        <w:wordWrap/>
        <w:overflowPunct/>
        <w:topLinePunct w:val="0"/>
        <w:autoSpaceDE/>
        <w:autoSpaceDN/>
        <w:bidi w:val="0"/>
        <w:adjustRightInd/>
        <w:snapToGrid/>
        <w:spacing w:after="0" w:line="400" w:lineRule="exact"/>
        <w:ind w:firstLine="480" w:firstLineChars="200"/>
        <w:textAlignment w:val="auto"/>
        <w:rPr>
          <w:rFonts w:hint="eastAsia" w:ascii="宋体" w:hAnsi="宋体" w:cs="宋体"/>
          <w:b/>
          <w:bCs/>
          <w:color w:val="auto"/>
          <w:kern w:val="0"/>
          <w:sz w:val="24"/>
          <w:szCs w:val="24"/>
          <w:highlight w:val="none"/>
          <w:shd w:val="clear" w:color="auto" w:fill="FFFFFF"/>
          <w:lang w:val="en-US" w:eastAsia="zh-CN"/>
        </w:rPr>
      </w:pPr>
      <w:r>
        <w:rPr>
          <w:rFonts w:hint="eastAsia" w:ascii="宋体" w:hAnsi="宋体" w:cs="宋体"/>
          <w:color w:val="auto"/>
          <w:sz w:val="24"/>
          <w:szCs w:val="24"/>
          <w:highlight w:val="none"/>
          <w:lang w:eastAsia="zh-CN"/>
        </w:rPr>
        <w:t>七</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zh-CN"/>
        </w:rPr>
        <w:t>参照《中华人民共和国政府采购法》第五十二条规定，供应商认为谈判文件、采购过程和成交、成交结果使自己的权益受到损害的，可以在知道或者应知其权益受到损害之日起七个工作日内，以书面形式向采购人提出质疑。</w:t>
      </w:r>
      <w:r>
        <w:rPr>
          <w:rFonts w:hint="eastAsia" w:ascii="宋体" w:hAnsi="宋体" w:cs="宋体"/>
          <w:b/>
          <w:bCs/>
          <w:color w:val="auto"/>
          <w:kern w:val="0"/>
          <w:sz w:val="24"/>
          <w:szCs w:val="24"/>
          <w:highlight w:val="none"/>
          <w:shd w:val="clear" w:color="auto" w:fill="FFFFFF"/>
          <w:lang w:val="en-US" w:eastAsia="zh-CN"/>
        </w:rPr>
        <w:t xml:space="preserve">                                         </w:t>
      </w:r>
    </w:p>
    <w:p>
      <w:pPr>
        <w:adjustRightInd w:val="0"/>
        <w:snapToGrid w:val="0"/>
        <w:spacing w:line="440" w:lineRule="exact"/>
        <w:ind w:firstLine="482" w:firstLineChars="200"/>
        <w:rPr>
          <w:rFonts w:hint="eastAsia" w:ascii="宋体" w:hAnsi="宋体" w:cs="仿宋_GB2312"/>
          <w:b/>
          <w:color w:val="auto"/>
          <w:sz w:val="24"/>
          <w:highlight w:val="none"/>
        </w:rPr>
      </w:pPr>
      <w:r>
        <w:rPr>
          <w:rFonts w:hint="eastAsia" w:ascii="宋体" w:hAnsi="宋体" w:cs="仿宋_GB2312"/>
          <w:b/>
          <w:color w:val="auto"/>
          <w:sz w:val="24"/>
          <w:highlight w:val="none"/>
        </w:rPr>
        <w:t xml:space="preserve"> </w:t>
      </w:r>
    </w:p>
    <w:p>
      <w:pPr>
        <w:spacing w:before="156" w:beforeLines="50" w:after="156" w:afterLines="50" w:line="440" w:lineRule="exact"/>
        <w:jc w:val="center"/>
        <w:outlineLvl w:val="0"/>
        <w:rPr>
          <w:rFonts w:hint="eastAsia" w:ascii="宋体" w:hAnsi="宋体"/>
          <w:b/>
          <w:color w:val="auto"/>
          <w:sz w:val="36"/>
          <w:szCs w:val="36"/>
          <w:highlight w:val="none"/>
        </w:rPr>
      </w:pPr>
      <w:r>
        <w:rPr>
          <w:rFonts w:hint="eastAsia" w:ascii="宋体" w:hAnsi="宋体"/>
          <w:b/>
          <w:color w:val="auto"/>
          <w:sz w:val="36"/>
          <w:szCs w:val="36"/>
          <w:highlight w:val="none"/>
        </w:rPr>
        <w:br w:type="page"/>
      </w:r>
      <w:bookmarkStart w:id="45" w:name="_Toc7302"/>
      <w:bookmarkStart w:id="46" w:name="_Toc4126"/>
      <w:r>
        <w:rPr>
          <w:rFonts w:hint="eastAsia" w:ascii="宋体" w:hAnsi="宋体"/>
          <w:b/>
          <w:color w:val="auto"/>
          <w:sz w:val="36"/>
          <w:szCs w:val="36"/>
          <w:highlight w:val="none"/>
          <w:lang w:eastAsia="zh-CN"/>
        </w:rPr>
        <w:t>第二部分</w:t>
      </w:r>
      <w:r>
        <w:rPr>
          <w:rFonts w:hint="eastAsia" w:ascii="宋体" w:hAnsi="宋体"/>
          <w:b/>
          <w:color w:val="auto"/>
          <w:sz w:val="36"/>
          <w:szCs w:val="36"/>
          <w:highlight w:val="none"/>
          <w:lang w:val="en-US" w:eastAsia="zh-CN"/>
        </w:rPr>
        <w:t xml:space="preserve">  </w:t>
      </w:r>
      <w:r>
        <w:rPr>
          <w:rFonts w:hint="eastAsia" w:ascii="宋体" w:hAnsi="宋体"/>
          <w:b/>
          <w:color w:val="auto"/>
          <w:sz w:val="36"/>
          <w:szCs w:val="36"/>
          <w:highlight w:val="none"/>
        </w:rPr>
        <w:t>报价供应商须知</w:t>
      </w:r>
      <w:bookmarkEnd w:id="45"/>
      <w:bookmarkEnd w:id="46"/>
    </w:p>
    <w:p>
      <w:pPr>
        <w:pStyle w:val="14"/>
        <w:rPr>
          <w:rFonts w:hint="eastAsia"/>
          <w:i w:val="0"/>
          <w:iCs w:val="0"/>
          <w:color w:val="auto"/>
          <w:highlight w:val="none"/>
        </w:rPr>
      </w:pPr>
      <w:r>
        <w:rPr>
          <w:rFonts w:hint="eastAsia" w:ascii="宋体" w:hAnsi="宋体"/>
          <w:b/>
          <w:i w:val="0"/>
          <w:iCs w:val="0"/>
          <w:color w:val="auto"/>
          <w:sz w:val="24"/>
          <w:highlight w:val="none"/>
        </w:rPr>
        <w:t>报价供应商须知前附表是对报价供应商须知的补充，二者如有矛盾，以前附表为准。</w:t>
      </w:r>
    </w:p>
    <w:tbl>
      <w:tblPr>
        <w:tblStyle w:val="18"/>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8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条款号</w:t>
            </w:r>
          </w:p>
        </w:tc>
        <w:tc>
          <w:tcPr>
            <w:tcW w:w="8951"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内</w:t>
            </w:r>
            <w:r>
              <w:rPr>
                <w:rFonts w:ascii="宋体" w:hAnsi="宋体"/>
                <w:b/>
                <w:color w:val="auto"/>
                <w:sz w:val="24"/>
                <w:highlight w:val="none"/>
              </w:rPr>
              <w:t xml:space="preserve">  </w:t>
            </w:r>
            <w:r>
              <w:rPr>
                <w:rFonts w:hint="eastAsia" w:ascii="宋体" w:hAnsi="宋体"/>
                <w:b/>
                <w:color w:val="auto"/>
                <w:sz w:val="24"/>
                <w:highlight w:val="none"/>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1</w:t>
            </w:r>
          </w:p>
        </w:tc>
        <w:tc>
          <w:tcPr>
            <w:tcW w:w="8951" w:type="dxa"/>
            <w:noWrap w:val="0"/>
            <w:vAlign w:val="center"/>
          </w:tcPr>
          <w:p>
            <w:pPr>
              <w:pStyle w:val="16"/>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ascii="宋体" w:hAnsi="宋体"/>
                <w:i w:val="0"/>
                <w:iCs w:val="0"/>
                <w:color w:val="FF0000"/>
                <w:sz w:val="24"/>
                <w:szCs w:val="24"/>
                <w:highlight w:val="none"/>
                <w:u w:val="single"/>
                <w:lang w:val="en-US" w:eastAsia="zh-CN"/>
              </w:rPr>
            </w:pPr>
            <w:r>
              <w:rPr>
                <w:rFonts w:hint="eastAsia" w:ascii="宋体" w:hAnsi="宋体"/>
                <w:i w:val="0"/>
                <w:iCs w:val="0"/>
                <w:color w:val="FF0000"/>
                <w:sz w:val="24"/>
                <w:szCs w:val="24"/>
                <w:highlight w:val="none"/>
                <w:u w:val="single"/>
                <w:lang w:val="en-US" w:eastAsia="zh-CN"/>
              </w:rPr>
              <w:t>泉州师范学院 （物理与信息工程学院）</w:t>
            </w:r>
          </w:p>
          <w:p>
            <w:pPr>
              <w:pStyle w:val="16"/>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eastAsia="宋体"/>
                <w:color w:val="auto"/>
                <w:highlight w:val="none"/>
                <w:lang w:val="en-US" w:eastAsia="zh-CN"/>
              </w:rPr>
            </w:pPr>
            <w:r>
              <w:rPr>
                <w:rFonts w:hint="eastAsia" w:ascii="宋体" w:hAnsi="宋体" w:eastAsia="宋体" w:cs="宋体"/>
                <w:color w:val="auto"/>
                <w:sz w:val="24"/>
                <w:highlight w:val="none"/>
                <w:u w:val="none"/>
                <w:lang w:eastAsia="zh-CN"/>
              </w:rPr>
              <w:t>地址</w:t>
            </w:r>
            <w:r>
              <w:rPr>
                <w:rFonts w:hint="eastAsia" w:ascii="宋体" w:hAnsi="宋体" w:eastAsia="宋体" w:cs="宋体"/>
                <w:color w:val="auto"/>
                <w:kern w:val="2"/>
                <w:sz w:val="24"/>
                <w:szCs w:val="24"/>
                <w:highlight w:val="none"/>
                <w:u w:val="none"/>
                <w:lang w:val="en-US" w:eastAsia="zh-CN" w:bidi="ar-SA"/>
              </w:rPr>
              <w:t>：</w:t>
            </w:r>
            <w:r>
              <w:rPr>
                <w:rFonts w:ascii="宋体" w:hAnsi="宋体" w:eastAsia="宋体" w:cs="宋体"/>
                <w:color w:val="auto"/>
                <w:sz w:val="24"/>
                <w:szCs w:val="24"/>
                <w:u w:val="none"/>
              </w:rPr>
              <w:t>泉州市丰泽区东海大街398号</w:t>
            </w:r>
            <w:r>
              <w:rPr>
                <w:rFonts w:hint="eastAsia" w:ascii="宋体" w:hAnsi="宋体" w:cs="宋体"/>
                <w:color w:val="auto"/>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2</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报价供应商必须在报价文件中提供以下证明其有资格进行报价和有能力履行合同的文件(加盖报价供应商公章)：</w:t>
            </w:r>
          </w:p>
          <w:p>
            <w:pPr>
              <w:pStyle w:val="16"/>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rPr>
              <w:t>1、合格有效的营业执照副本复印件；</w:t>
            </w:r>
          </w:p>
          <w:p>
            <w:pPr>
              <w:pStyle w:val="16"/>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、法定代表人对谈判代表的授权委托书（原件）；</w:t>
            </w:r>
          </w:p>
          <w:p>
            <w:pPr>
              <w:pStyle w:val="16"/>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、法定代表人身份证正反面有效复印件；</w:t>
            </w:r>
          </w:p>
          <w:p>
            <w:pPr>
              <w:pStyle w:val="16"/>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、谈判代表身份证正反面有效复印件；</w:t>
            </w:r>
          </w:p>
          <w:p>
            <w:pPr>
              <w:spacing w:line="440" w:lineRule="exact"/>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5、</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w:t>
            </w:r>
            <w:r>
              <w:rPr>
                <w:rFonts w:hint="eastAsia" w:ascii="宋体" w:hAnsi="宋体" w:cs="宋体"/>
                <w:b/>
                <w:bCs/>
                <w:color w:val="auto"/>
                <w:sz w:val="24"/>
                <w:highlight w:val="none"/>
              </w:rPr>
              <w:t>（须提供相关证明文件或书面声明）</w:t>
            </w:r>
            <w:r>
              <w:rPr>
                <w:rFonts w:hint="eastAsia" w:ascii="宋体" w:hAnsi="宋体"/>
                <w:color w:val="auto"/>
                <w:sz w:val="24"/>
                <w:highlight w:val="none"/>
              </w:rPr>
              <w:t>；</w:t>
            </w:r>
          </w:p>
          <w:p>
            <w:pPr>
              <w:spacing w:line="360" w:lineRule="auto"/>
              <w:ind w:firstLine="0" w:firstLineChars="0"/>
              <w:rPr>
                <w:rFonts w:hint="eastAsia" w:ascii="宋体" w:hAnsi="宋体"/>
                <w:b/>
                <w:bCs/>
                <w:color w:val="auto"/>
                <w:sz w:val="24"/>
                <w:highlight w:val="none"/>
              </w:rPr>
            </w:pPr>
            <w:r>
              <w:rPr>
                <w:rFonts w:hint="eastAsia" w:ascii="宋体" w:hAnsi="宋体"/>
                <w:b/>
                <w:bCs/>
                <w:color w:val="auto"/>
                <w:sz w:val="24"/>
                <w:highlight w:val="none"/>
              </w:rPr>
              <w:t>特别说明：报价供应商必须对上述资格证明文件的真实性负责，原件备查；如果报价供应商虚报上述证明文件骗取成交，其成交资格无效。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3</w:t>
            </w:r>
          </w:p>
        </w:tc>
        <w:tc>
          <w:tcPr>
            <w:tcW w:w="8951" w:type="dxa"/>
            <w:noWrap w:val="0"/>
            <w:vAlign w:val="center"/>
          </w:tcPr>
          <w:p>
            <w:pPr>
              <w:spacing w:line="440" w:lineRule="exact"/>
              <w:rPr>
                <w:rFonts w:hint="eastAsia" w:ascii="宋体" w:hAnsi="宋体" w:eastAsia="宋体"/>
                <w:color w:val="FF0000"/>
                <w:sz w:val="24"/>
                <w:highlight w:val="none"/>
                <w:lang w:eastAsia="zh-CN"/>
              </w:rPr>
            </w:pPr>
            <w:r>
              <w:rPr>
                <w:rFonts w:hint="eastAsia" w:ascii="宋体" w:hAnsi="宋体"/>
                <w:b/>
                <w:bCs/>
                <w:color w:val="FF0000"/>
                <w:sz w:val="24"/>
                <w:highlight w:val="none"/>
                <w:lang w:eastAsia="zh-CN"/>
              </w:rPr>
              <w:t>询价</w:t>
            </w:r>
            <w:r>
              <w:rPr>
                <w:rFonts w:hint="eastAsia" w:ascii="宋体" w:hAnsi="宋体"/>
                <w:b/>
                <w:bCs/>
                <w:color w:val="FF0000"/>
                <w:sz w:val="24"/>
                <w:highlight w:val="none"/>
              </w:rPr>
              <w:t>保证金：</w:t>
            </w:r>
            <w:r>
              <w:rPr>
                <w:rFonts w:hint="eastAsia" w:ascii="宋体" w:hAnsi="宋体" w:cs="宋体"/>
                <w:color w:val="FF0000"/>
                <w:sz w:val="24"/>
                <w:szCs w:val="24"/>
                <w:highlight w:val="none"/>
                <w:lang w:eastAsia="zh-CN"/>
              </w:rPr>
              <w:t>本项目无须缴纳保证金。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4</w:t>
            </w:r>
          </w:p>
        </w:tc>
        <w:tc>
          <w:tcPr>
            <w:tcW w:w="8951" w:type="dxa"/>
            <w:noWrap w:val="0"/>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color w:val="auto"/>
                <w:sz w:val="24"/>
                <w:highlight w:val="none"/>
              </w:rPr>
            </w:pPr>
            <w:r>
              <w:rPr>
                <w:rFonts w:hint="eastAsia" w:ascii="宋体" w:hAnsi="宋体"/>
                <w:b/>
                <w:bCs/>
                <w:color w:val="FF0000"/>
                <w:sz w:val="24"/>
                <w:highlight w:val="none"/>
                <w:lang w:eastAsia="zh-CN"/>
              </w:rPr>
              <w:t>履约保证金：</w:t>
            </w:r>
            <w:r>
              <w:rPr>
                <w:rFonts w:hint="eastAsia" w:ascii="宋体" w:hAnsi="宋体"/>
                <w:b/>
                <w:bCs/>
                <w:color w:val="FF0000"/>
                <w:sz w:val="24"/>
                <w:highlight w:val="none"/>
                <w:lang w:val="en-US" w:eastAsia="zh-CN"/>
              </w:rPr>
              <w:t>无</w:t>
            </w:r>
            <w:r>
              <w:rPr>
                <w:rFonts w:hint="eastAsia" w:ascii="宋体" w:hAnsi="宋体"/>
                <w:b/>
                <w:bCs/>
                <w:color w:val="FF000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5</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rPr>
              <w:t>报价有效期：报价文件自评审之日起，报价有效期为90天。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6</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报价供应商递交报价响应文件的份数</w:t>
            </w:r>
            <w:r>
              <w:rPr>
                <w:rFonts w:hint="eastAsia" w:ascii="宋体" w:hAnsi="宋体"/>
                <w:b w:val="0"/>
                <w:bCs/>
                <w:color w:val="FF0000"/>
                <w:sz w:val="24"/>
                <w:highlight w:val="none"/>
              </w:rPr>
              <w:t>：正本</w:t>
            </w:r>
            <w:r>
              <w:rPr>
                <w:rFonts w:hint="eastAsia" w:ascii="宋体" w:hAnsi="宋体"/>
                <w:b w:val="0"/>
                <w:bCs/>
                <w:color w:val="FF0000"/>
                <w:sz w:val="24"/>
                <w:highlight w:val="none"/>
                <w:u w:val="single"/>
                <w:lang w:val="en-US" w:eastAsia="zh-CN"/>
              </w:rPr>
              <w:t>1</w:t>
            </w:r>
            <w:r>
              <w:rPr>
                <w:rFonts w:hint="eastAsia" w:ascii="宋体" w:hAnsi="宋体"/>
                <w:b w:val="0"/>
                <w:bCs/>
                <w:color w:val="FF0000"/>
                <w:sz w:val="24"/>
                <w:highlight w:val="none"/>
              </w:rPr>
              <w:t>份、副本</w:t>
            </w:r>
            <w:r>
              <w:rPr>
                <w:rFonts w:hint="eastAsia" w:ascii="宋体" w:hAnsi="宋体"/>
                <w:b w:val="0"/>
                <w:bCs/>
                <w:color w:val="FF0000"/>
                <w:sz w:val="24"/>
                <w:highlight w:val="none"/>
                <w:u w:val="single"/>
                <w:lang w:val="en-US" w:eastAsia="zh-CN"/>
              </w:rPr>
              <w:t>3</w:t>
            </w:r>
            <w:r>
              <w:rPr>
                <w:rFonts w:hint="eastAsia" w:ascii="宋体" w:hAnsi="宋体"/>
                <w:b w:val="0"/>
                <w:bCs/>
                <w:color w:val="FF0000"/>
                <w:sz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7</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参加评审会的应是报价代表。报价代表可以是法定代表人或法定代表人的授权委托人。若法定代表人参加的，请提供营业执照复印件、身份证原件；若法定代表人的授权委托人参加，法定代表人的授权委托人必须持有本人身份证原件、法定代表人授权书(格式详见：询价文件格式)、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8</w:t>
            </w:r>
          </w:p>
        </w:tc>
        <w:tc>
          <w:tcPr>
            <w:tcW w:w="8951" w:type="dxa"/>
            <w:noWrap w:val="0"/>
            <w:vAlign w:val="center"/>
          </w:tcPr>
          <w:p>
            <w:pPr>
              <w:tabs>
                <w:tab w:val="left" w:pos="9344"/>
              </w:tabs>
              <w:spacing w:line="440" w:lineRule="exact"/>
              <w:ind w:firstLine="0" w:firstLineChars="0"/>
              <w:jc w:val="left"/>
              <w:rPr>
                <w:rFonts w:hint="eastAsia" w:ascii="宋体" w:hAnsi="宋体"/>
                <w:b/>
                <w:bCs w:val="0"/>
                <w:color w:val="auto"/>
                <w:sz w:val="24"/>
                <w:highlight w:val="none"/>
              </w:rPr>
            </w:pPr>
            <w:r>
              <w:rPr>
                <w:rFonts w:hint="eastAsia" w:ascii="宋体" w:hAnsi="宋体"/>
                <w:b/>
                <w:bCs w:val="0"/>
                <w:color w:val="auto"/>
                <w:sz w:val="24"/>
                <w:highlight w:val="none"/>
              </w:rPr>
              <w:t>评审方法：本次询价采用</w:t>
            </w:r>
            <w:r>
              <w:rPr>
                <w:rFonts w:hint="eastAsia" w:ascii="宋体" w:hAnsi="宋体"/>
                <w:b/>
                <w:bCs w:val="0"/>
                <w:color w:val="auto"/>
                <w:sz w:val="24"/>
                <w:highlight w:val="none"/>
                <w:u w:val="single"/>
              </w:rPr>
              <w:t>最低评标价法</w:t>
            </w:r>
            <w:r>
              <w:rPr>
                <w:rFonts w:hint="eastAsia" w:ascii="宋体" w:hAnsi="宋体"/>
                <w:b/>
                <w:bCs w:val="0"/>
                <w:color w:val="auto"/>
                <w:sz w:val="24"/>
                <w:highlight w:val="none"/>
              </w:rPr>
              <w:t>。</w:t>
            </w:r>
          </w:p>
          <w:p>
            <w:pPr>
              <w:spacing w:line="440" w:lineRule="exact"/>
              <w:ind w:firstLine="0" w:firstLineChars="0"/>
              <w:rPr>
                <w:rFonts w:hint="eastAsia" w:ascii="宋体" w:hAnsi="宋体" w:cs="仿宋_GB2312"/>
                <w:b w:val="0"/>
                <w:bCs/>
                <w:color w:val="auto"/>
                <w:sz w:val="24"/>
                <w:highlight w:val="none"/>
                <w:lang w:val="zh-CN"/>
              </w:rPr>
            </w:pPr>
            <w:r>
              <w:rPr>
                <w:rFonts w:hint="eastAsia" w:ascii="宋体" w:hAnsi="宋体"/>
                <w:b/>
                <w:bCs/>
                <w:sz w:val="24"/>
              </w:rPr>
              <w:t>即在全部满足询价文件实质性要求前提下，依据统一的价格要素评定最低报价，以提出最低报价的报价供应商作为成交候选供应商或成交人。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9</w:t>
            </w:r>
          </w:p>
        </w:tc>
        <w:tc>
          <w:tcPr>
            <w:tcW w:w="8951" w:type="dxa"/>
            <w:noWrap w:val="0"/>
            <w:vAlign w:val="center"/>
          </w:tcPr>
          <w:p>
            <w:pPr>
              <w:spacing w:line="440" w:lineRule="exact"/>
              <w:rPr>
                <w:rFonts w:hint="eastAsia" w:ascii="宋体" w:hAnsi="宋体"/>
                <w:bCs/>
                <w:color w:val="auto"/>
                <w:sz w:val="24"/>
                <w:highlight w:val="none"/>
              </w:rPr>
            </w:pPr>
            <w:r>
              <w:rPr>
                <w:rFonts w:ascii="宋体" w:hAnsi="宋体"/>
                <w:b w:val="0"/>
                <w:bCs/>
                <w:color w:val="auto"/>
                <w:sz w:val="24"/>
                <w:highlight w:val="none"/>
              </w:rPr>
              <w:t>询价小组根据</w:t>
            </w:r>
            <w:r>
              <w:rPr>
                <w:rFonts w:hint="eastAsia" w:ascii="宋体" w:hAnsi="宋体"/>
                <w:b w:val="0"/>
                <w:bCs/>
                <w:color w:val="auto"/>
                <w:sz w:val="24"/>
                <w:highlight w:val="none"/>
              </w:rPr>
              <w:t>询价</w:t>
            </w:r>
            <w:r>
              <w:rPr>
                <w:rFonts w:ascii="宋体" w:hAnsi="宋体"/>
                <w:b w:val="0"/>
                <w:bCs/>
                <w:color w:val="auto"/>
                <w:sz w:val="24"/>
                <w:highlight w:val="none"/>
              </w:rPr>
              <w:t>文件、报价文件，经综合分析、比较、算术性修正、评标价格量化，按满足</w:t>
            </w:r>
            <w:r>
              <w:rPr>
                <w:rFonts w:hint="eastAsia" w:ascii="宋体" w:hAnsi="宋体"/>
                <w:b w:val="0"/>
                <w:bCs/>
                <w:color w:val="auto"/>
                <w:sz w:val="24"/>
                <w:highlight w:val="none"/>
              </w:rPr>
              <w:t>询价</w:t>
            </w:r>
            <w:r>
              <w:rPr>
                <w:rFonts w:ascii="宋体" w:hAnsi="宋体"/>
                <w:b w:val="0"/>
                <w:bCs/>
                <w:color w:val="auto"/>
                <w:sz w:val="24"/>
                <w:highlight w:val="none"/>
              </w:rPr>
              <w:t>文件实质性要求，符合采购需求、质量和服务相等的前提下，对报价供应商的评标价格从低到高进行排序，并依照排序推荐</w:t>
            </w:r>
            <w:r>
              <w:rPr>
                <w:rFonts w:hint="eastAsia" w:ascii="宋体" w:hAnsi="宋体"/>
                <w:b w:val="0"/>
                <w:bCs/>
                <w:color w:val="auto"/>
                <w:sz w:val="24"/>
                <w:highlight w:val="none"/>
                <w:lang w:eastAsia="zh-CN"/>
              </w:rPr>
              <w:t>三</w:t>
            </w:r>
            <w:r>
              <w:rPr>
                <w:rFonts w:ascii="宋体" w:hAnsi="宋体"/>
                <w:b w:val="0"/>
                <w:bCs/>
                <w:color w:val="auto"/>
                <w:sz w:val="24"/>
                <w:highlight w:val="none"/>
              </w:rPr>
              <w:t>名</w:t>
            </w:r>
            <w:r>
              <w:rPr>
                <w:rFonts w:hint="eastAsia" w:ascii="宋体" w:hAnsi="宋体"/>
                <w:b w:val="0"/>
                <w:bCs/>
                <w:color w:val="auto"/>
                <w:sz w:val="24"/>
                <w:highlight w:val="none"/>
              </w:rPr>
              <w:t>成交</w:t>
            </w:r>
            <w:r>
              <w:rPr>
                <w:rFonts w:ascii="宋体" w:hAnsi="宋体"/>
                <w:b w:val="0"/>
                <w:bCs/>
                <w:color w:val="auto"/>
                <w:sz w:val="24"/>
                <w:highlight w:val="none"/>
              </w:rPr>
              <w:t>候选人。当出现二个或二个以上相同报价，则抽签产生第一</w:t>
            </w:r>
            <w:r>
              <w:rPr>
                <w:rFonts w:hint="eastAsia" w:ascii="宋体" w:hAnsi="宋体"/>
                <w:b w:val="0"/>
                <w:bCs/>
                <w:color w:val="auto"/>
                <w:sz w:val="24"/>
                <w:highlight w:val="none"/>
              </w:rPr>
              <w:t>成交</w:t>
            </w:r>
            <w:r>
              <w:rPr>
                <w:rFonts w:ascii="宋体" w:hAnsi="宋体"/>
                <w:b w:val="0"/>
                <w:bCs/>
                <w:color w:val="auto"/>
                <w:sz w:val="24"/>
                <w:highlight w:val="none"/>
              </w:rPr>
              <w:t>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10</w:t>
            </w:r>
          </w:p>
        </w:tc>
        <w:tc>
          <w:tcPr>
            <w:tcW w:w="8951" w:type="dxa"/>
            <w:noWrap w:val="0"/>
            <w:vAlign w:val="center"/>
          </w:tcPr>
          <w:p>
            <w:pPr>
              <w:spacing w:line="440" w:lineRule="exact"/>
              <w:rPr>
                <w:rFonts w:hint="eastAsia" w:ascii="宋体" w:hAnsi="宋体"/>
                <w:bCs/>
                <w:color w:val="auto"/>
                <w:sz w:val="24"/>
                <w:highlight w:val="none"/>
              </w:rPr>
            </w:pPr>
            <w:r>
              <w:rPr>
                <w:rFonts w:hint="eastAsia" w:ascii="宋体" w:hAnsi="宋体"/>
                <w:b w:val="0"/>
                <w:bCs/>
                <w:color w:val="auto"/>
                <w:sz w:val="24"/>
                <w:highlight w:val="none"/>
              </w:rPr>
              <w:t>询价小组在遵循采购法规定的原则上，按照本询价采购文件规定的评定标准进行评议，根据符合采购需求、质量和服务相等，报价最低且未超过采购预算的报价供应商为成交供应商。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11</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lang w:val="zh-CN"/>
              </w:rPr>
              <w:t>成交供应商接到采购单位成交通知后</w:t>
            </w:r>
            <w:r>
              <w:rPr>
                <w:rFonts w:hint="eastAsia" w:ascii="宋体" w:hAnsi="宋体"/>
                <w:color w:val="auto"/>
                <w:sz w:val="24"/>
                <w:highlight w:val="none"/>
                <w:lang w:val="en-US" w:eastAsia="zh-CN"/>
              </w:rPr>
              <w:t>30</w:t>
            </w:r>
            <w:r>
              <w:rPr>
                <w:rFonts w:hint="eastAsia" w:ascii="宋体" w:hAnsi="宋体"/>
                <w:color w:val="auto"/>
                <w:sz w:val="24"/>
                <w:highlight w:val="none"/>
                <w:lang w:val="zh-CN"/>
              </w:rPr>
              <w:t>日内与采购人签订合同，逾期视为自动放弃中标资格，并将追究相关责任逾期按谈判后撤回成交处理。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12</w:t>
            </w:r>
          </w:p>
        </w:tc>
        <w:tc>
          <w:tcPr>
            <w:tcW w:w="8951" w:type="dxa"/>
            <w:noWrap w:val="0"/>
            <w:vAlign w:val="center"/>
          </w:tcPr>
          <w:p>
            <w:pPr>
              <w:spacing w:line="440" w:lineRule="exact"/>
              <w:rPr>
                <w:rFonts w:hint="eastAsia" w:ascii="宋体" w:hAnsi="宋体"/>
                <w:b/>
                <w:color w:val="auto"/>
                <w:sz w:val="24"/>
                <w:highlight w:val="none"/>
              </w:rPr>
            </w:pPr>
            <w:r>
              <w:rPr>
                <w:rFonts w:hint="eastAsia" w:ascii="宋体" w:hAnsi="宋体"/>
                <w:b/>
                <w:bCs/>
                <w:color w:val="auto"/>
                <w:sz w:val="24"/>
                <w:highlight w:val="none"/>
              </w:rPr>
              <w:t>出现下列情形之一的，本次询价采购应予废标：</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bCs/>
                <w:color w:val="auto"/>
                <w:sz w:val="24"/>
                <w:highlight w:val="none"/>
              </w:rPr>
              <w:t>符合专业条件的供应商或者对询价文件作实质性响应的供应商不足三家的；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bCs/>
                <w:color w:val="auto"/>
                <w:sz w:val="24"/>
                <w:highlight w:val="none"/>
              </w:rPr>
              <w:t>出现影响采购公正的违法、违规行为的；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rPr>
              <w:t>报价供应商的报价均超过了采购预算，采购人不能支付的；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因重大变故，采购任务取消的。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eastAsia="宋体"/>
                <w:b/>
                <w:color w:val="auto"/>
                <w:sz w:val="24"/>
                <w:highlight w:val="none"/>
                <w:lang w:val="en-US" w:eastAsia="zh-CN"/>
              </w:rPr>
            </w:pPr>
            <w:r>
              <w:rPr>
                <w:rFonts w:hint="eastAsia"/>
                <w:b/>
                <w:color w:val="auto"/>
                <w:sz w:val="24"/>
                <w:highlight w:val="none"/>
                <w:lang w:val="en-US" w:eastAsia="zh-CN"/>
              </w:rPr>
              <w:t>13</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凡有下列情况之一的，其报价将按照</w:t>
            </w:r>
            <w:r>
              <w:rPr>
                <w:rFonts w:hint="eastAsia" w:ascii="宋体" w:hAnsi="宋体"/>
                <w:b/>
                <w:bCs/>
                <w:color w:val="auto"/>
                <w:sz w:val="24"/>
                <w:highlight w:val="none"/>
              </w:rPr>
              <w:t>无效报价处理</w:t>
            </w:r>
            <w:r>
              <w:rPr>
                <w:rFonts w:hint="eastAsia" w:ascii="宋体" w:hAnsi="宋体"/>
                <w:b/>
                <w:color w:val="auto"/>
                <w:sz w:val="24"/>
                <w:highlight w:val="none"/>
              </w:rPr>
              <w:t>：</w:t>
            </w:r>
          </w:p>
          <w:p>
            <w:pPr>
              <w:spacing w:line="440" w:lineRule="exact"/>
              <w:rPr>
                <w:rFonts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color w:val="auto"/>
                <w:sz w:val="24"/>
                <w:highlight w:val="none"/>
              </w:rPr>
              <w:t>未按照询价文件规定要求装订、密封、签字、加盖报价供应商公章的；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color w:val="auto"/>
                <w:sz w:val="24"/>
                <w:highlight w:val="none"/>
              </w:rPr>
              <w:t>不具备询价文件中规定资格要求或提供资格证明文件不全的；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lang w:eastAsia="zh-CN"/>
              </w:rPr>
              <w:t>报价超过最高限价的</w:t>
            </w:r>
            <w:r>
              <w:rPr>
                <w:rFonts w:hint="eastAsia" w:ascii="宋体" w:hAnsi="宋体"/>
                <w:bCs/>
                <w:color w:val="auto"/>
                <w:sz w:val="24"/>
                <w:highlight w:val="none"/>
              </w:rPr>
              <w:t>；</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提交的是可选择性报价的；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5.</w:t>
            </w:r>
            <w:r>
              <w:rPr>
                <w:rFonts w:hint="eastAsia" w:ascii="宋体" w:hAnsi="宋体"/>
                <w:bCs/>
                <w:color w:val="auto"/>
                <w:sz w:val="24"/>
                <w:highlight w:val="none"/>
              </w:rPr>
              <w:t>报价内容与询价内容及</w:t>
            </w:r>
            <w:r>
              <w:rPr>
                <w:rFonts w:hint="eastAsia" w:ascii="宋体" w:hAnsi="宋体"/>
                <w:bCs/>
                <w:color w:val="auto"/>
                <w:sz w:val="24"/>
                <w:highlight w:val="none"/>
                <w:lang w:eastAsia="zh-CN"/>
              </w:rPr>
              <w:t>技术要求</w:t>
            </w:r>
            <w:r>
              <w:rPr>
                <w:rFonts w:hint="eastAsia" w:ascii="宋体" w:hAnsi="宋体"/>
                <w:bCs/>
                <w:color w:val="auto"/>
                <w:sz w:val="24"/>
                <w:highlight w:val="none"/>
              </w:rPr>
              <w:t>有不满足的；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6.</w:t>
            </w:r>
            <w:r>
              <w:rPr>
                <w:rFonts w:hint="eastAsia" w:ascii="宋体" w:hAnsi="宋体"/>
                <w:bCs/>
                <w:color w:val="auto"/>
                <w:sz w:val="24"/>
                <w:highlight w:val="none"/>
              </w:rPr>
              <w:t>干扰或试图对采购人、采购代理机构和询价小组的评审、比较或评审结果的决定进行影响；</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7.</w:t>
            </w:r>
            <w:r>
              <w:rPr>
                <w:rFonts w:hint="eastAsia" w:ascii="宋体" w:hAnsi="宋体"/>
                <w:bCs/>
                <w:color w:val="auto"/>
                <w:sz w:val="24"/>
                <w:highlight w:val="none"/>
              </w:rPr>
              <w:t>报价有严重缺漏项目的；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8.</w:t>
            </w:r>
            <w:r>
              <w:rPr>
                <w:rFonts w:hint="eastAsia" w:ascii="宋体" w:hAnsi="宋体"/>
                <w:color w:val="auto"/>
                <w:sz w:val="24"/>
                <w:highlight w:val="none"/>
              </w:rPr>
              <w:t>不符合法律、法规和询价文件中规定的其他实质性要求的；</w:t>
            </w:r>
          </w:p>
          <w:p>
            <w:pPr>
              <w:spacing w:line="440" w:lineRule="exact"/>
              <w:rPr>
                <w:rFonts w:hint="eastAsia" w:ascii="宋体" w:hAnsi="宋体" w:eastAsia="宋体"/>
                <w:color w:val="auto"/>
                <w:sz w:val="24"/>
                <w:highlight w:val="none"/>
                <w:lang w:eastAsia="zh-CN"/>
              </w:rPr>
            </w:pPr>
            <w:r>
              <w:rPr>
                <w:rFonts w:hint="eastAsia" w:ascii="宋体" w:hAnsi="宋体"/>
                <w:bCs/>
                <w:color w:val="auto"/>
                <w:sz w:val="24"/>
                <w:highlight w:val="none"/>
                <w:lang w:val="en-US" w:eastAsia="zh-CN"/>
              </w:rPr>
              <w:t>9.</w:t>
            </w:r>
            <w:r>
              <w:rPr>
                <w:rFonts w:hint="eastAsia" w:ascii="宋体" w:hAnsi="宋体"/>
                <w:color w:val="auto"/>
                <w:sz w:val="24"/>
                <w:highlight w:val="none"/>
              </w:rPr>
              <w:t>出现影响采购公正的违法、违规行为的</w:t>
            </w:r>
            <w:r>
              <w:rPr>
                <w:rFonts w:hint="eastAsia" w:ascii="宋体" w:hAnsi="宋体"/>
                <w:color w:val="auto"/>
                <w:sz w:val="24"/>
                <w:highlight w:val="none"/>
                <w:lang w:eastAsia="zh-CN"/>
              </w:rPr>
              <w:t>。</w:t>
            </w:r>
          </w:p>
        </w:tc>
      </w:tr>
    </w:tbl>
    <w:p>
      <w:pPr>
        <w:pStyle w:val="2"/>
        <w:spacing w:before="120" w:after="120" w:line="440" w:lineRule="exact"/>
        <w:jc w:val="both"/>
        <w:rPr>
          <w:rFonts w:hint="eastAsia" w:ascii="宋体" w:hAnsi="宋体" w:eastAsia="宋体"/>
          <w:color w:val="auto"/>
          <w:sz w:val="36"/>
          <w:szCs w:val="36"/>
          <w:highlight w:val="none"/>
          <w:lang w:val="en-US" w:eastAsia="zh-CN"/>
        </w:rPr>
      </w:pPr>
      <w:bookmarkStart w:id="47" w:name="_Toc5918"/>
      <w:bookmarkStart w:id="48" w:name="_Toc12454"/>
      <w:bookmarkStart w:id="49" w:name="_Toc4338"/>
    </w:p>
    <w:p>
      <w:pPr>
        <w:rPr>
          <w:rFonts w:hint="eastAsia"/>
          <w:lang w:val="en-US" w:eastAsia="zh-CN"/>
        </w:rPr>
      </w:pPr>
    </w:p>
    <w:bookmarkEnd w:id="47"/>
    <w:bookmarkEnd w:id="48"/>
    <w:bookmarkEnd w:id="49"/>
    <w:p>
      <w:pPr>
        <w:pStyle w:val="3"/>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bookmarkStart w:id="50" w:name="_Toc1931"/>
      <w:bookmarkStart w:id="51" w:name="_Toc34"/>
    </w:p>
    <w:p>
      <w:pPr>
        <w:rPr>
          <w:rFonts w:hint="eastAsia" w:ascii="宋体" w:hAnsi="宋体" w:eastAsia="宋体"/>
          <w:color w:val="auto"/>
          <w:sz w:val="24"/>
          <w:szCs w:val="24"/>
          <w:highlight w:val="none"/>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rPr>
          <w:rFonts w:hint="eastAsia"/>
          <w:lang w:eastAsia="zh-CN"/>
        </w:rPr>
      </w:pPr>
    </w:p>
    <w:p>
      <w:pPr>
        <w:pStyle w:val="23"/>
        <w:rPr>
          <w:rFonts w:hint="eastAsia"/>
          <w:lang w:eastAsia="zh-CN"/>
        </w:rPr>
      </w:pPr>
    </w:p>
    <w:p>
      <w:pPr>
        <w:pStyle w:val="2"/>
        <w:spacing w:before="120" w:after="120" w:line="440" w:lineRule="exact"/>
        <w:jc w:val="center"/>
        <w:rPr>
          <w:rFonts w:hint="eastAsia" w:ascii="宋体" w:hAnsi="宋体" w:eastAsia="宋体"/>
          <w:color w:val="auto"/>
          <w:sz w:val="24"/>
          <w:szCs w:val="24"/>
          <w:highlight w:val="none"/>
          <w:lang w:eastAsia="zh-CN"/>
        </w:rPr>
      </w:pPr>
      <w:r>
        <w:rPr>
          <w:rFonts w:hint="eastAsia" w:ascii="宋体" w:hAnsi="宋体" w:eastAsia="宋体"/>
          <w:color w:val="auto"/>
          <w:sz w:val="36"/>
          <w:szCs w:val="36"/>
          <w:highlight w:val="none"/>
        </w:rPr>
        <w:t>第</w:t>
      </w:r>
      <w:r>
        <w:rPr>
          <w:rFonts w:hint="eastAsia" w:ascii="宋体" w:hAnsi="宋体" w:eastAsia="宋体"/>
          <w:color w:val="auto"/>
          <w:sz w:val="36"/>
          <w:szCs w:val="36"/>
          <w:highlight w:val="none"/>
          <w:lang w:eastAsia="zh-CN"/>
        </w:rPr>
        <w:t>三</w:t>
      </w:r>
      <w:r>
        <w:rPr>
          <w:rFonts w:hint="eastAsia" w:ascii="宋体" w:hAnsi="宋体" w:eastAsia="宋体"/>
          <w:color w:val="auto"/>
          <w:sz w:val="36"/>
          <w:szCs w:val="36"/>
          <w:highlight w:val="none"/>
        </w:rPr>
        <w:t xml:space="preserve">部分    </w:t>
      </w:r>
      <w:r>
        <w:rPr>
          <w:rFonts w:hint="eastAsia" w:ascii="宋体" w:hAnsi="宋体" w:eastAsia="宋体"/>
          <w:color w:val="auto"/>
          <w:sz w:val="36"/>
          <w:szCs w:val="36"/>
          <w:highlight w:val="none"/>
          <w:lang w:eastAsia="zh-CN"/>
        </w:rPr>
        <w:t>询价内容</w:t>
      </w:r>
      <w:r>
        <w:rPr>
          <w:rFonts w:hint="eastAsia" w:ascii="宋体" w:hAnsi="宋体" w:eastAsia="宋体"/>
          <w:color w:val="auto"/>
          <w:sz w:val="36"/>
          <w:szCs w:val="36"/>
          <w:highlight w:val="none"/>
        </w:rPr>
        <w:t>及要求</w:t>
      </w:r>
    </w:p>
    <w:p>
      <w:pPr>
        <w:numPr>
          <w:ilvl w:val="0"/>
          <w:numId w:val="0"/>
        </w:numPr>
        <w:spacing w:line="440" w:lineRule="exact"/>
        <w:rPr>
          <w:rFonts w:hint="eastAsia" w:ascii="宋体" w:hAnsi="宋体"/>
          <w:b/>
          <w:color w:val="FF0000"/>
          <w:kern w:val="0"/>
          <w:sz w:val="24"/>
          <w:lang w:val="en-US" w:eastAsia="zh-CN"/>
        </w:rPr>
      </w:pPr>
      <w:r>
        <w:rPr>
          <w:rFonts w:hint="eastAsia" w:ascii="宋体" w:hAnsi="宋体"/>
          <w:b/>
          <w:kern w:val="0"/>
          <w:sz w:val="24"/>
          <w:lang w:val="en-US" w:eastAsia="zh-CN"/>
        </w:rPr>
        <w:t>一</w:t>
      </w:r>
      <w:r>
        <w:rPr>
          <w:rFonts w:hint="eastAsia" w:ascii="宋体" w:hAnsi="宋体"/>
          <w:b/>
          <w:color w:val="FF0000"/>
          <w:kern w:val="0"/>
          <w:sz w:val="24"/>
          <w:lang w:val="en-US" w:eastAsia="zh-CN"/>
        </w:rPr>
        <w:t>、基本技术参数及要求</w:t>
      </w:r>
    </w:p>
    <w:p>
      <w:pPr>
        <w:jc w:val="center"/>
        <w:outlineLvl w:val="0"/>
        <w:rPr>
          <w:rFonts w:ascii="宋体" w:hAnsi="宋体" w:eastAsia="宋体" w:cs="宋体"/>
          <w:b/>
          <w:bCs/>
          <w:sz w:val="28"/>
          <w:szCs w:val="28"/>
        </w:rPr>
      </w:pPr>
      <w:r>
        <w:rPr>
          <w:rFonts w:hint="eastAsia" w:ascii="宋体" w:hAnsi="宋体" w:eastAsia="宋体" w:cs="宋体"/>
          <w:b/>
          <w:bCs/>
          <w:sz w:val="28"/>
          <w:szCs w:val="28"/>
        </w:rPr>
        <w:t>数字功率测试仪</w:t>
      </w:r>
      <w:r>
        <w:rPr>
          <w:rFonts w:ascii="宋体" w:hAnsi="宋体" w:eastAsia="宋体" w:cs="宋体"/>
          <w:b/>
          <w:bCs/>
          <w:sz w:val="28"/>
          <w:szCs w:val="28"/>
        </w:rPr>
        <w:t xml:space="preserve"> </w:t>
      </w:r>
    </w:p>
    <w:p>
      <w:pPr>
        <w:rPr>
          <w:rFonts w:ascii="宋体" w:hAnsi="宋体" w:eastAsia="宋体" w:cs="宋体"/>
          <w:szCs w:val="21"/>
        </w:rPr>
      </w:pPr>
    </w:p>
    <w:p>
      <w:pPr>
        <w:numPr>
          <w:ilvl w:val="0"/>
          <w:numId w:val="1"/>
        </w:numPr>
        <w:rPr>
          <w:rFonts w:ascii="宋体" w:hAnsi="宋体" w:eastAsia="宋体" w:cs="宋体"/>
          <w:szCs w:val="21"/>
        </w:rPr>
      </w:pPr>
      <w:r>
        <w:rPr>
          <w:rFonts w:hint="eastAsia"/>
        </w:rPr>
        <w:t>设备功能：</w:t>
      </w:r>
      <w:r>
        <w:rPr>
          <w:rFonts w:hint="eastAsia" w:ascii="宋体" w:hAnsi="宋体" w:eastAsia="宋体" w:cs="宋体"/>
          <w:szCs w:val="21"/>
        </w:rPr>
        <w:t>可以实现DC和0.5Hz-100kHz宽频测试，最小可测25μA电流，同时具备谐波分析功能、变比功能、平均功能、数据存储/调出功能、电能量积分等功能。配专用软件，快速设置测量参数，能显示、存储、调用测量数据，能显示电压、电流波形和谐波频谱。</w:t>
      </w:r>
    </w:p>
    <w:p>
      <w:pPr>
        <w:numPr>
          <w:ilvl w:val="0"/>
          <w:numId w:val="1"/>
        </w:numPr>
        <w:rPr>
          <w:rFonts w:ascii="宋体" w:hAnsi="宋体" w:eastAsia="宋体" w:cs="宋体"/>
          <w:szCs w:val="21"/>
        </w:rPr>
      </w:pPr>
      <w:r>
        <w:rPr>
          <w:rFonts w:hint="eastAsia" w:ascii="宋体" w:hAnsi="宋体" w:eastAsia="宋体" w:cs="宋体"/>
          <w:szCs w:val="21"/>
        </w:rPr>
        <w:t>谐波分析功能：采用锁相环（PLL）同步技术，可分析基波频率20Hz~2.56kHz的电压、电流的总谐波失真、总谐波电压、总谐波电流、总谐波功率、1-50次各次谐波的有效值和相对值。</w:t>
      </w:r>
    </w:p>
    <w:p>
      <w:pPr>
        <w:numPr>
          <w:ilvl w:val="0"/>
          <w:numId w:val="1"/>
        </w:numPr>
        <w:rPr>
          <w:rFonts w:ascii="宋体" w:hAnsi="宋体" w:eastAsia="宋体" w:cs="宋体"/>
          <w:szCs w:val="21"/>
        </w:rPr>
      </w:pPr>
      <w:r>
        <w:rPr>
          <w:rFonts w:hint="eastAsia" w:ascii="宋体" w:hAnsi="宋体" w:eastAsia="宋体" w:cs="宋体"/>
          <w:szCs w:val="21"/>
        </w:rPr>
        <w:t>变比功能：可使用电压互感器（PT）、电流互感器（CT）或电压输出型电流传感器扩展量程，变比（SCALING）功能将测量结果直接换算成真实值显示输出。</w:t>
      </w:r>
    </w:p>
    <w:p>
      <w:pPr>
        <w:numPr>
          <w:ilvl w:val="0"/>
          <w:numId w:val="1"/>
        </w:numPr>
        <w:rPr>
          <w:rFonts w:ascii="宋体" w:hAnsi="宋体" w:eastAsia="宋体" w:cs="宋体"/>
          <w:szCs w:val="21"/>
        </w:rPr>
      </w:pPr>
      <w:r>
        <w:rPr>
          <w:rFonts w:hint="eastAsia" w:ascii="宋体" w:hAnsi="宋体" w:eastAsia="宋体" w:cs="宋体"/>
          <w:szCs w:val="21"/>
        </w:rPr>
        <w:t>平均功能：当因被测信号不稳定而读数困难时，可使用平均（AVG）功能将测量值进行平均运算后再显示输出，有指数平均（EXP）和算术移动平均（MOV）两种方式。</w:t>
      </w:r>
    </w:p>
    <w:p>
      <w:pPr>
        <w:numPr>
          <w:ilvl w:val="0"/>
          <w:numId w:val="1"/>
        </w:numPr>
        <w:jc w:val="left"/>
        <w:rPr>
          <w:rFonts w:ascii="宋体" w:hAnsi="宋体" w:eastAsia="宋体" w:cs="宋体"/>
          <w:szCs w:val="21"/>
        </w:rPr>
      </w:pPr>
      <w:r>
        <w:rPr>
          <w:rFonts w:hint="eastAsia" w:ascii="宋体" w:hAnsi="宋体" w:eastAsia="宋体" w:cs="宋体"/>
          <w:szCs w:val="21"/>
        </w:rPr>
        <w:t>输入量程：电压直接输入：CF=3：15V/30V/60V/150V/300V/600V，CF=6：7.5V/15V/30V/75V/150V/300V。电流直接输入：CF=3：5mA/10mA/20mA/50mA/100mA/</w:t>
      </w:r>
    </w:p>
    <w:p>
      <w:pPr>
        <w:jc w:val="left"/>
        <w:rPr>
          <w:rFonts w:ascii="宋体" w:hAnsi="宋体" w:eastAsia="宋体" w:cs="宋体"/>
          <w:szCs w:val="21"/>
        </w:rPr>
      </w:pPr>
      <w:r>
        <w:rPr>
          <w:rFonts w:hint="eastAsia" w:ascii="宋体" w:hAnsi="宋体" w:eastAsia="宋体" w:cs="宋体"/>
          <w:szCs w:val="21"/>
        </w:rPr>
        <w:t>200mA/0.5A/1A/2A/5A/10A/20A，CF=6：2.5mA/5mA/10mA/25mA/50mA/100mA/0.25A/0.5A/1A/2.5A/5A/10A。电流外部输入：</w:t>
      </w:r>
      <w:r>
        <w:rPr>
          <w:rFonts w:ascii="宋体" w:hAnsi="宋体" w:eastAsia="宋体" w:cs="宋体"/>
          <w:szCs w:val="21"/>
        </w:rPr>
        <w:t>CF3：50mV/100mV/200mV/500mV/1V/2V/5V /10V</w:t>
      </w:r>
      <w:r>
        <w:rPr>
          <w:rFonts w:hint="eastAsia" w:ascii="宋体" w:hAnsi="宋体" w:eastAsia="宋体" w:cs="宋体"/>
          <w:szCs w:val="21"/>
        </w:rPr>
        <w:t>，</w:t>
      </w:r>
      <w:r>
        <w:rPr>
          <w:rFonts w:ascii="宋体" w:hAnsi="宋体" w:eastAsia="宋体" w:cs="宋体"/>
          <w:szCs w:val="21"/>
        </w:rPr>
        <w:t>CF6：25mV/50mV/100mV/250mV/0.5V/1V/2.5V/5V</w:t>
      </w:r>
      <w:r>
        <w:rPr>
          <w:rFonts w:hint="eastAsia" w:ascii="宋体" w:hAnsi="宋体" w:eastAsia="宋体" w:cs="宋体"/>
          <w:szCs w:val="21"/>
        </w:rPr>
        <w:t>。</w:t>
      </w:r>
    </w:p>
    <w:p>
      <w:pPr>
        <w:rPr>
          <w:rFonts w:ascii="宋体" w:hAnsi="宋体" w:eastAsia="宋体" w:cs="宋体"/>
          <w:szCs w:val="21"/>
        </w:rPr>
      </w:pPr>
      <w:r>
        <w:rPr>
          <w:rFonts w:hint="eastAsia" w:ascii="宋体" w:hAnsi="宋体" w:eastAsia="宋体" w:cs="宋体"/>
          <w:color w:val="000000"/>
          <w:szCs w:val="21"/>
        </w:rPr>
        <w:t>6.频率范围：DC，AC：</w:t>
      </w:r>
      <w:r>
        <w:rPr>
          <w:rFonts w:hint="eastAsia" w:ascii="宋体" w:hAnsi="宋体" w:eastAsia="宋体" w:cs="宋体"/>
          <w:szCs w:val="21"/>
        </w:rPr>
        <w:t xml:space="preserve">0.5Hz </w:t>
      </w:r>
      <w:r>
        <w:rPr>
          <w:rFonts w:hint="eastAsia" w:ascii="宋体" w:hAnsi="宋体" w:eastAsia="宋体" w:cs="宋体"/>
          <w:color w:val="000000"/>
          <w:szCs w:val="21"/>
        </w:rPr>
        <w:t>～</w:t>
      </w:r>
      <w:r>
        <w:rPr>
          <w:rFonts w:hint="eastAsia" w:ascii="宋体" w:hAnsi="宋体" w:eastAsia="宋体" w:cs="宋体"/>
          <w:szCs w:val="21"/>
        </w:rPr>
        <w:t>1</w:t>
      </w:r>
      <w:r>
        <w:rPr>
          <w:rFonts w:hint="eastAsia" w:ascii="宋体" w:hAnsi="宋体" w:eastAsia="宋体" w:cs="宋体"/>
          <w:color w:val="000000"/>
          <w:szCs w:val="21"/>
        </w:rPr>
        <w:t>00kHz。</w:t>
      </w:r>
    </w:p>
    <w:p>
      <w:pPr>
        <w:autoSpaceDE w:val="0"/>
        <w:autoSpaceDN w:val="0"/>
        <w:jc w:val="left"/>
        <w:rPr>
          <w:rFonts w:ascii="宋体" w:hAnsi="宋体" w:eastAsia="宋体" w:cs="宋体"/>
          <w:szCs w:val="21"/>
        </w:rPr>
      </w:pPr>
      <w:r>
        <w:rPr>
          <w:rFonts w:hint="eastAsia" w:ascii="宋体" w:hAnsi="宋体" w:eastAsia="宋体" w:cs="宋体"/>
          <w:color w:val="000000"/>
          <w:szCs w:val="21"/>
        </w:rPr>
        <w:t>7.滤波器：</w:t>
      </w:r>
      <w:r>
        <w:rPr>
          <w:rFonts w:hint="eastAsia" w:ascii="宋体" w:hAnsi="宋体" w:eastAsia="宋体" w:cs="宋体"/>
          <w:szCs w:val="21"/>
        </w:rPr>
        <w:t>线路滤波：可选择OFF、500Hz或5kHz，频率滤波：可选择OFF、500Hz或5kHz；</w:t>
      </w:r>
    </w:p>
    <w:p>
      <w:pPr>
        <w:autoSpaceDE w:val="0"/>
        <w:autoSpaceDN w:val="0"/>
        <w:jc w:val="left"/>
        <w:rPr>
          <w:rFonts w:ascii="宋体" w:hAnsi="宋体" w:eastAsia="宋体" w:cs="宋体"/>
          <w:szCs w:val="21"/>
        </w:rPr>
      </w:pPr>
      <w:r>
        <w:rPr>
          <w:rFonts w:hint="eastAsia" w:ascii="宋体" w:hAnsi="宋体" w:eastAsia="宋体" w:cs="宋体"/>
          <w:szCs w:val="21"/>
        </w:rPr>
        <w:t>8.数据显示刷新率：0.1s、0.25s、0.5s、1s、2s、5s；</w:t>
      </w:r>
    </w:p>
    <w:p>
      <w:pPr>
        <w:autoSpaceDE w:val="0"/>
        <w:autoSpaceDN w:val="0"/>
        <w:jc w:val="left"/>
        <w:rPr>
          <w:rFonts w:ascii="宋体" w:hAnsi="宋体" w:eastAsia="宋体" w:cs="宋体"/>
          <w:szCs w:val="21"/>
        </w:rPr>
      </w:pPr>
      <w:r>
        <w:rPr>
          <w:rFonts w:hint="eastAsia" w:ascii="宋体" w:hAnsi="宋体" w:eastAsia="宋体" w:cs="宋体"/>
          <w:szCs w:val="21"/>
        </w:rPr>
        <w:t>9.电压电流测量精度：DC：0.1%读数+0.1%量程，0.5Hz</w:t>
      </w:r>
      <w:r>
        <w:rPr>
          <w:rFonts w:hint="eastAsia" w:ascii="宋体" w:hAnsi="宋体" w:eastAsia="宋体" w:cs="宋体"/>
          <w:color w:val="000000"/>
          <w:szCs w:val="21"/>
        </w:rPr>
        <w:t>～45Hz：</w:t>
      </w:r>
      <w:r>
        <w:rPr>
          <w:rFonts w:hint="eastAsia" w:ascii="宋体" w:hAnsi="宋体" w:eastAsia="宋体" w:cs="宋体"/>
          <w:szCs w:val="21"/>
        </w:rPr>
        <w:t>0.1%读数+0.2%量程，45Hz</w:t>
      </w:r>
      <w:r>
        <w:rPr>
          <w:rFonts w:hint="eastAsia" w:ascii="宋体" w:hAnsi="宋体" w:eastAsia="宋体" w:cs="宋体"/>
          <w:color w:val="000000"/>
          <w:szCs w:val="21"/>
        </w:rPr>
        <w:t>～65Hz：</w:t>
      </w:r>
      <w:r>
        <w:rPr>
          <w:rFonts w:hint="eastAsia" w:ascii="宋体" w:hAnsi="宋体" w:eastAsia="宋体" w:cs="宋体"/>
          <w:szCs w:val="21"/>
        </w:rPr>
        <w:t>0.1%读数+0.05%量程，65Hz</w:t>
      </w:r>
      <w:r>
        <w:rPr>
          <w:rFonts w:hint="eastAsia" w:ascii="宋体" w:hAnsi="宋体" w:eastAsia="宋体" w:cs="宋体"/>
          <w:color w:val="000000"/>
          <w:szCs w:val="21"/>
        </w:rPr>
        <w:t>～1kHz：</w:t>
      </w:r>
      <w:r>
        <w:rPr>
          <w:rFonts w:hint="eastAsia" w:ascii="宋体" w:hAnsi="宋体" w:eastAsia="宋体" w:cs="宋体"/>
          <w:szCs w:val="21"/>
        </w:rPr>
        <w:t>0.1%读数+0.2%量程，1kHz</w:t>
      </w:r>
      <w:r>
        <w:rPr>
          <w:rFonts w:hint="eastAsia" w:ascii="宋体" w:hAnsi="宋体" w:eastAsia="宋体" w:cs="宋体"/>
          <w:color w:val="000000"/>
          <w:szCs w:val="21"/>
        </w:rPr>
        <w:t>～10kHz：</w:t>
      </w:r>
      <w:r>
        <w:rPr>
          <w:rFonts w:hint="eastAsia" w:ascii="宋体" w:hAnsi="宋体" w:eastAsia="宋体" w:cs="宋体"/>
          <w:szCs w:val="21"/>
        </w:rPr>
        <w:t>0.07×f %读数+0.3%量程，10kHz</w:t>
      </w:r>
      <w:r>
        <w:rPr>
          <w:rFonts w:hint="eastAsia" w:ascii="宋体" w:hAnsi="宋体" w:eastAsia="宋体" w:cs="宋体"/>
          <w:color w:val="000000"/>
          <w:szCs w:val="21"/>
        </w:rPr>
        <w:t>～100kHz：</w:t>
      </w:r>
      <w:r>
        <w:rPr>
          <w:rFonts w:hint="eastAsia" w:ascii="宋体" w:hAnsi="宋体" w:eastAsia="宋体" w:cs="宋体"/>
          <w:szCs w:val="21"/>
        </w:rPr>
        <w:t>(0.5%读数+0.5%量程) +(0.04×(f-10)%读数)；</w:t>
      </w:r>
    </w:p>
    <w:p>
      <w:pPr>
        <w:autoSpaceDE w:val="0"/>
        <w:autoSpaceDN w:val="0"/>
        <w:jc w:val="left"/>
        <w:rPr>
          <w:rFonts w:ascii="宋体" w:hAnsi="宋体" w:eastAsia="宋体" w:cs="宋体"/>
          <w:szCs w:val="21"/>
        </w:rPr>
      </w:pPr>
      <w:r>
        <w:rPr>
          <w:rFonts w:hint="eastAsia" w:ascii="宋体" w:hAnsi="宋体" w:eastAsia="宋体" w:cs="宋体"/>
          <w:szCs w:val="21"/>
        </w:rPr>
        <w:t>10.有功功率测量精度：</w:t>
      </w:r>
      <w:r>
        <w:rPr>
          <w:rFonts w:hint="eastAsia" w:ascii="宋体" w:hAnsi="宋体" w:eastAsia="宋体" w:cs="宋体"/>
          <w:color w:val="000000"/>
          <w:szCs w:val="21"/>
        </w:rPr>
        <w:t>DC：</w:t>
      </w:r>
      <w:r>
        <w:rPr>
          <w:rFonts w:hint="eastAsia" w:ascii="宋体" w:hAnsi="宋体" w:eastAsia="宋体" w:cs="宋体"/>
          <w:szCs w:val="21"/>
        </w:rPr>
        <w:t>0.1%读数+0.2%量程，0.5Hz</w:t>
      </w:r>
      <w:r>
        <w:rPr>
          <w:rFonts w:hint="eastAsia" w:ascii="宋体" w:hAnsi="宋体" w:eastAsia="宋体" w:cs="宋体"/>
          <w:color w:val="000000"/>
          <w:szCs w:val="21"/>
        </w:rPr>
        <w:t>～45Hz：</w:t>
      </w:r>
      <w:r>
        <w:rPr>
          <w:rFonts w:hint="eastAsia" w:ascii="宋体" w:hAnsi="宋体" w:eastAsia="宋体" w:cs="宋体"/>
          <w:szCs w:val="21"/>
        </w:rPr>
        <w:t>0.3%读数+0.2%量程，45Hz</w:t>
      </w:r>
      <w:r>
        <w:rPr>
          <w:rFonts w:hint="eastAsia" w:ascii="宋体" w:hAnsi="宋体" w:eastAsia="宋体" w:cs="宋体"/>
          <w:color w:val="000000"/>
          <w:szCs w:val="21"/>
        </w:rPr>
        <w:t>～65Hz：</w:t>
      </w:r>
      <w:r>
        <w:rPr>
          <w:rFonts w:hint="eastAsia" w:ascii="宋体" w:hAnsi="宋体" w:eastAsia="宋体" w:cs="宋体"/>
          <w:szCs w:val="21"/>
        </w:rPr>
        <w:t>0.1%读数+0.05%量程：0.1%读数+0.05%量程，65Hz</w:t>
      </w:r>
      <w:r>
        <w:rPr>
          <w:rFonts w:hint="eastAsia" w:ascii="宋体" w:hAnsi="宋体" w:eastAsia="宋体" w:cs="宋体"/>
          <w:color w:val="000000"/>
          <w:szCs w:val="21"/>
        </w:rPr>
        <w:t>～1kHz：</w:t>
      </w:r>
      <w:r>
        <w:rPr>
          <w:rFonts w:hint="eastAsia" w:ascii="宋体" w:hAnsi="宋体" w:eastAsia="宋体" w:cs="宋体"/>
          <w:szCs w:val="21"/>
        </w:rPr>
        <w:t>0.2%读数+0.2%量程，1kHz</w:t>
      </w:r>
      <w:r>
        <w:rPr>
          <w:rFonts w:hint="eastAsia" w:ascii="宋体" w:hAnsi="宋体" w:eastAsia="宋体" w:cs="宋体"/>
          <w:color w:val="000000"/>
          <w:szCs w:val="21"/>
        </w:rPr>
        <w:t>～10kHz：</w:t>
      </w:r>
      <w:r>
        <w:rPr>
          <w:rFonts w:hint="eastAsia" w:ascii="宋体" w:hAnsi="宋体" w:eastAsia="宋体" w:cs="宋体"/>
          <w:szCs w:val="21"/>
        </w:rPr>
        <w:t>(0.1%读数+0.3%量程) +(0.067×(f-1)%读数)，10kHz</w:t>
      </w:r>
      <w:r>
        <w:rPr>
          <w:rFonts w:hint="eastAsia" w:ascii="宋体" w:hAnsi="宋体" w:eastAsia="宋体" w:cs="宋体"/>
          <w:color w:val="000000"/>
          <w:szCs w:val="21"/>
        </w:rPr>
        <w:t>～100kHz：</w:t>
      </w:r>
      <w:r>
        <w:rPr>
          <w:rFonts w:hint="eastAsia" w:ascii="宋体" w:hAnsi="宋体" w:eastAsia="宋体" w:cs="宋体"/>
          <w:szCs w:val="21"/>
        </w:rPr>
        <w:t>(0.5%读数+0.5%量程) +(0.09×(f-10)%读数)；</w:t>
      </w:r>
    </w:p>
    <w:p>
      <w:pPr>
        <w:widowControl/>
        <w:jc w:val="left"/>
        <w:rPr>
          <w:rFonts w:ascii="宋体" w:hAnsi="宋体" w:eastAsia="宋体" w:cs="宋体"/>
          <w:szCs w:val="21"/>
        </w:rPr>
      </w:pPr>
      <w:r>
        <w:rPr>
          <w:rFonts w:ascii="宋体" w:hAnsi="宋体" w:eastAsia="宋体" w:cs="宋体"/>
          <w:szCs w:val="21"/>
        </w:rPr>
        <w:br w:type="page"/>
      </w:r>
    </w:p>
    <w:p>
      <w:pPr>
        <w:jc w:val="center"/>
        <w:outlineLvl w:val="0"/>
        <w:rPr>
          <w:rFonts w:hint="eastAsia" w:ascii="宋体" w:hAnsi="宋体" w:eastAsia="宋体" w:cs="宋体"/>
          <w:b/>
          <w:bCs/>
          <w:sz w:val="28"/>
          <w:szCs w:val="28"/>
        </w:rPr>
      </w:pPr>
      <w:r>
        <w:rPr>
          <w:rFonts w:hint="eastAsia" w:ascii="宋体" w:hAnsi="宋体" w:eastAsia="宋体" w:cs="宋体"/>
          <w:b/>
          <w:bCs/>
          <w:sz w:val="28"/>
          <w:szCs w:val="28"/>
        </w:rPr>
        <w:t>数字示波器</w:t>
      </w:r>
    </w:p>
    <w:p>
      <w:pPr>
        <w:pStyle w:val="27"/>
        <w:numPr>
          <w:ilvl w:val="0"/>
          <w:numId w:val="2"/>
        </w:numPr>
        <w:spacing w:before="240"/>
        <w:ind w:firstLineChars="0"/>
        <w:rPr>
          <w:rFonts w:ascii="宋体" w:hAnsi="宋体" w:eastAsia="宋体" w:cs="Arial"/>
          <w:color w:val="000000" w:themeColor="text1"/>
          <w:szCs w:val="21"/>
          <w14:textFill>
            <w14:solidFill>
              <w14:schemeClr w14:val="tx1"/>
            </w14:solidFill>
          </w14:textFill>
        </w:rPr>
      </w:pPr>
      <w:r>
        <w:rPr>
          <w:rFonts w:hint="eastAsia" w:ascii="宋体" w:hAnsi="宋体" w:eastAsia="宋体" w:cs="Arial"/>
          <w:color w:val="000000" w:themeColor="text1"/>
          <w:szCs w:val="21"/>
          <w14:textFill>
            <w14:solidFill>
              <w14:schemeClr w14:val="tx1"/>
            </w14:solidFill>
          </w14:textFill>
        </w:rPr>
        <w:t>模拟通道带宽：</w:t>
      </w:r>
      <w:r>
        <w:rPr>
          <w:rFonts w:ascii="宋体" w:hAnsi="宋体" w:eastAsia="宋体" w:cs="Arial"/>
          <w:color w:val="000000" w:themeColor="text1"/>
          <w:szCs w:val="21"/>
          <w14:textFill>
            <w14:solidFill>
              <w14:schemeClr w14:val="tx1"/>
            </w14:solidFill>
          </w14:textFill>
        </w:rPr>
        <w:t>200 MHz</w:t>
      </w:r>
      <w:r>
        <w:rPr>
          <w:rFonts w:hint="eastAsia" w:ascii="宋体" w:hAnsi="宋体" w:eastAsia="宋体" w:cs="Arial"/>
          <w:color w:val="000000" w:themeColor="text1"/>
          <w:szCs w:val="21"/>
          <w14:textFill>
            <w14:solidFill>
              <w14:schemeClr w14:val="tx1"/>
            </w14:solidFill>
          </w14:textFill>
        </w:rPr>
        <w:t>（最高可升级至8</w:t>
      </w:r>
      <w:r>
        <w:rPr>
          <w:rFonts w:ascii="宋体" w:hAnsi="宋体" w:eastAsia="宋体" w:cs="Arial"/>
          <w:color w:val="000000" w:themeColor="text1"/>
          <w:szCs w:val="21"/>
          <w14:textFill>
            <w14:solidFill>
              <w14:schemeClr w14:val="tx1"/>
            </w14:solidFill>
          </w14:textFill>
        </w:rPr>
        <w:t>00</w:t>
      </w:r>
      <w:r>
        <w:rPr>
          <w:rFonts w:hint="eastAsia" w:ascii="宋体" w:hAnsi="宋体" w:eastAsia="宋体" w:cs="Arial"/>
          <w:color w:val="000000" w:themeColor="text1"/>
          <w:szCs w:val="21"/>
          <w14:textFill>
            <w14:solidFill>
              <w14:schemeClr w14:val="tx1"/>
            </w14:solidFill>
          </w14:textFill>
        </w:rPr>
        <w:t>MHz）</w:t>
      </w:r>
    </w:p>
    <w:p>
      <w:pPr>
        <w:pStyle w:val="27"/>
        <w:numPr>
          <w:ilvl w:val="0"/>
          <w:numId w:val="2"/>
        </w:numPr>
        <w:ind w:firstLineChars="0"/>
        <w:rPr>
          <w:rFonts w:ascii="宋体" w:hAnsi="宋体" w:eastAsia="宋体" w:cs="Arial"/>
          <w:color w:val="000000" w:themeColor="text1"/>
          <w:szCs w:val="21"/>
          <w14:textFill>
            <w14:solidFill>
              <w14:schemeClr w14:val="tx1"/>
            </w14:solidFill>
          </w14:textFill>
        </w:rPr>
      </w:pPr>
      <w:r>
        <w:rPr>
          <w:rFonts w:ascii="宋体" w:hAnsi="宋体" w:eastAsia="宋体" w:cs="Arial"/>
          <w:color w:val="000000" w:themeColor="text1"/>
          <w:szCs w:val="21"/>
          <w14:textFill>
            <w14:solidFill>
              <w14:schemeClr w14:val="tx1"/>
            </w14:solidFill>
          </w14:textFill>
        </w:rPr>
        <w:t>4</w:t>
      </w:r>
      <w:r>
        <w:rPr>
          <w:rFonts w:hint="eastAsia" w:ascii="宋体" w:hAnsi="宋体" w:eastAsia="宋体" w:cs="Arial"/>
          <w:color w:val="000000" w:themeColor="text1"/>
          <w:szCs w:val="21"/>
          <w14:textFill>
            <w14:solidFill>
              <w14:schemeClr w14:val="tx1"/>
            </w14:solidFill>
          </w14:textFill>
        </w:rPr>
        <w:t>个模拟通道， 1个EXT通道</w:t>
      </w:r>
    </w:p>
    <w:p>
      <w:pPr>
        <w:pStyle w:val="27"/>
        <w:numPr>
          <w:ilvl w:val="0"/>
          <w:numId w:val="2"/>
        </w:numPr>
        <w:ind w:firstLineChars="0"/>
        <w:rPr>
          <w:rFonts w:ascii="宋体" w:hAnsi="宋体" w:eastAsia="宋体" w:cs="Arial"/>
          <w:color w:val="000000" w:themeColor="text1"/>
          <w:szCs w:val="21"/>
          <w14:textFill>
            <w14:solidFill>
              <w14:schemeClr w14:val="tx1"/>
            </w14:solidFill>
          </w14:textFill>
        </w:rPr>
      </w:pPr>
      <w:r>
        <w:rPr>
          <w:rFonts w:hint="eastAsia" w:ascii="宋体" w:hAnsi="宋体" w:eastAsia="宋体" w:cs="Arial"/>
          <w:color w:val="000000" w:themeColor="text1"/>
          <w:szCs w:val="21"/>
          <w14:textFill>
            <w14:solidFill>
              <w14:schemeClr w14:val="tx1"/>
            </w14:solidFill>
          </w14:textFill>
        </w:rPr>
        <w:t>最高实时采样率：</w:t>
      </w:r>
      <w:r>
        <w:rPr>
          <w:rFonts w:ascii="宋体" w:hAnsi="宋体" w:eastAsia="宋体" w:cs="Arial"/>
          <w:color w:val="000000" w:themeColor="text1"/>
          <w:szCs w:val="21"/>
          <w14:textFill>
            <w14:solidFill>
              <w14:schemeClr w14:val="tx1"/>
            </w14:solidFill>
          </w14:textFill>
        </w:rPr>
        <w:t>4</w:t>
      </w:r>
      <w:r>
        <w:rPr>
          <w:rFonts w:hint="eastAsia" w:ascii="宋体" w:hAnsi="宋体" w:eastAsia="宋体" w:cs="Arial"/>
          <w:color w:val="000000" w:themeColor="text1"/>
          <w:szCs w:val="21"/>
          <w14:textFill>
            <w14:solidFill>
              <w14:schemeClr w14:val="tx1"/>
            </w14:solidFill>
          </w14:textFill>
        </w:rPr>
        <w:t>GSa/s</w:t>
      </w:r>
    </w:p>
    <w:p>
      <w:pPr>
        <w:pStyle w:val="27"/>
        <w:numPr>
          <w:ilvl w:val="0"/>
          <w:numId w:val="2"/>
        </w:numPr>
        <w:ind w:firstLineChars="0"/>
        <w:rPr>
          <w:rFonts w:ascii="宋体" w:hAnsi="宋体" w:eastAsia="宋体" w:cs="Arial"/>
          <w:color w:val="000000" w:themeColor="text1"/>
          <w:szCs w:val="21"/>
          <w14:textFill>
            <w14:solidFill>
              <w14:schemeClr w14:val="tx1"/>
            </w14:solidFill>
          </w14:textFill>
        </w:rPr>
      </w:pPr>
      <w:r>
        <w:rPr>
          <w:rFonts w:hint="eastAsia" w:ascii="宋体" w:hAnsi="宋体" w:eastAsia="宋体" w:cs="Arial"/>
          <w:color w:val="000000" w:themeColor="text1"/>
          <w:szCs w:val="21"/>
          <w14:textFill>
            <w14:solidFill>
              <w14:schemeClr w14:val="tx1"/>
            </w14:solidFill>
          </w14:textFill>
        </w:rPr>
        <w:t>最高波形捕获率1</w:t>
      </w:r>
      <w:r>
        <w:rPr>
          <w:rFonts w:ascii="宋体" w:hAnsi="宋体" w:eastAsia="宋体" w:cs="Arial"/>
          <w:color w:val="000000" w:themeColor="text1"/>
          <w:szCs w:val="21"/>
          <w14:textFill>
            <w14:solidFill>
              <w14:schemeClr w14:val="tx1"/>
            </w14:solidFill>
          </w14:textFill>
        </w:rPr>
        <w:t>500,000 wfms/s（凝时获取模式，UltraAcquire Mode）</w:t>
      </w:r>
    </w:p>
    <w:p>
      <w:pPr>
        <w:pStyle w:val="27"/>
        <w:numPr>
          <w:ilvl w:val="0"/>
          <w:numId w:val="2"/>
        </w:numPr>
        <w:ind w:firstLineChars="0"/>
        <w:rPr>
          <w:rFonts w:ascii="宋体" w:hAnsi="宋体" w:eastAsia="宋体" w:cs="Arial"/>
          <w:color w:val="000000" w:themeColor="text1"/>
          <w:szCs w:val="21"/>
          <w14:textFill>
            <w14:solidFill>
              <w14:schemeClr w14:val="tx1"/>
            </w14:solidFill>
          </w14:textFill>
        </w:rPr>
      </w:pPr>
      <w:r>
        <w:rPr>
          <w:rFonts w:ascii="宋体" w:hAnsi="宋体" w:eastAsia="宋体" w:cs="Arial"/>
          <w:color w:val="000000" w:themeColor="text1"/>
          <w:szCs w:val="21"/>
          <w14:textFill>
            <w14:solidFill>
              <w14:schemeClr w14:val="tx1"/>
            </w14:solidFill>
          </w14:textFill>
        </w:rPr>
        <w:t>垂直灵敏度范围</w:t>
      </w:r>
      <w:r>
        <w:rPr>
          <w:rFonts w:hint="eastAsia" w:ascii="宋体" w:hAnsi="宋体" w:eastAsia="宋体" w:cs="Arial"/>
          <w:color w:val="000000" w:themeColor="text1"/>
          <w:szCs w:val="21"/>
          <w14:textFill>
            <w14:solidFill>
              <w14:schemeClr w14:val="tx1"/>
            </w14:solidFill>
          </w14:textFill>
        </w:rPr>
        <w:t>：</w:t>
      </w:r>
      <w:r>
        <w:rPr>
          <w:rFonts w:ascii="宋体" w:hAnsi="宋体" w:eastAsia="宋体" w:cs="Arial"/>
          <w:color w:val="000000" w:themeColor="text1"/>
          <w:szCs w:val="21"/>
          <w14:textFill>
            <w14:solidFill>
              <w14:schemeClr w14:val="tx1"/>
            </w14:solidFill>
          </w14:textFill>
        </w:rPr>
        <w:t>100 μV/div~10 V/div(1MΩ)</w:t>
      </w:r>
      <w:r>
        <w:rPr>
          <w:rFonts w:hint="eastAsia" w:ascii="宋体" w:hAnsi="宋体" w:eastAsia="宋体" w:cs="Arial"/>
          <w:color w:val="000000" w:themeColor="text1"/>
          <w:szCs w:val="21"/>
          <w14:textFill>
            <w14:solidFill>
              <w14:schemeClr w14:val="tx1"/>
            </w14:solidFill>
          </w14:textFill>
        </w:rPr>
        <w:t>；</w:t>
      </w:r>
      <w:r>
        <w:rPr>
          <w:rFonts w:ascii="宋体" w:hAnsi="宋体" w:eastAsia="宋体" w:cs="Arial"/>
          <w:color w:val="000000" w:themeColor="text1"/>
          <w:szCs w:val="21"/>
          <w14:textFill>
            <w14:solidFill>
              <w14:schemeClr w14:val="tx1"/>
            </w14:solidFill>
          </w14:textFill>
        </w:rPr>
        <w:t>100 μV/div~1 V/div（</w:t>
      </w:r>
      <w:r>
        <w:rPr>
          <w:rFonts w:hint="eastAsia" w:ascii="宋体" w:hAnsi="宋体" w:eastAsia="宋体" w:cs="Arial"/>
          <w:color w:val="000000" w:themeColor="text1"/>
          <w:szCs w:val="21"/>
          <w14:textFill>
            <w14:solidFill>
              <w14:schemeClr w14:val="tx1"/>
            </w14:solidFill>
          </w14:textFill>
        </w:rPr>
        <w:t>5</w:t>
      </w:r>
      <w:r>
        <w:rPr>
          <w:rFonts w:ascii="宋体" w:hAnsi="宋体" w:eastAsia="宋体" w:cs="Arial"/>
          <w:color w:val="000000" w:themeColor="text1"/>
          <w:szCs w:val="21"/>
          <w14:textFill>
            <w14:solidFill>
              <w14:schemeClr w14:val="tx1"/>
            </w14:solidFill>
          </w14:textFill>
        </w:rPr>
        <w:t xml:space="preserve">0Ω） </w:t>
      </w:r>
    </w:p>
    <w:p>
      <w:pPr>
        <w:pStyle w:val="27"/>
        <w:numPr>
          <w:ilvl w:val="0"/>
          <w:numId w:val="2"/>
        </w:numPr>
        <w:ind w:firstLineChars="0"/>
        <w:rPr>
          <w:rFonts w:ascii="宋体" w:hAnsi="宋体" w:eastAsia="宋体" w:cs="Arial"/>
          <w:color w:val="000000" w:themeColor="text1"/>
          <w:szCs w:val="21"/>
          <w14:textFill>
            <w14:solidFill>
              <w14:schemeClr w14:val="tx1"/>
            </w14:solidFill>
          </w14:textFill>
        </w:rPr>
      </w:pPr>
      <w:r>
        <w:rPr>
          <w:rFonts w:ascii="宋体" w:hAnsi="宋体" w:eastAsia="宋体" w:cs="Arial"/>
          <w:color w:val="000000" w:themeColor="text1"/>
          <w:szCs w:val="21"/>
          <w14:textFill>
            <w14:solidFill>
              <w14:schemeClr w14:val="tx1"/>
            </w14:solidFill>
          </w14:textFill>
        </w:rPr>
        <w:t>时基范围</w:t>
      </w:r>
      <w:r>
        <w:rPr>
          <w:rFonts w:hint="eastAsia" w:ascii="宋体" w:hAnsi="宋体" w:eastAsia="宋体" w:cs="Arial"/>
          <w:color w:val="000000" w:themeColor="text1"/>
          <w:szCs w:val="21"/>
          <w14:textFill>
            <w14:solidFill>
              <w14:schemeClr w14:val="tx1"/>
            </w14:solidFill>
          </w14:textFill>
        </w:rPr>
        <w:t>：</w:t>
      </w:r>
      <w:r>
        <w:rPr>
          <w:rFonts w:ascii="宋体" w:hAnsi="宋体" w:eastAsia="宋体" w:cs="Arial"/>
          <w:color w:val="000000" w:themeColor="text1"/>
          <w:szCs w:val="21"/>
          <w14:textFill>
            <w14:solidFill>
              <w14:schemeClr w14:val="tx1"/>
            </w14:solidFill>
          </w14:textFill>
        </w:rPr>
        <w:t>500 ps/div~1 ks/div</w:t>
      </w:r>
      <w:r>
        <w:rPr>
          <w:rFonts w:hint="eastAsia" w:ascii="宋体" w:hAnsi="宋体" w:eastAsia="宋体" w:cs="Arial"/>
          <w:color w:val="000000" w:themeColor="text1"/>
          <w:szCs w:val="21"/>
          <w14:textFill>
            <w14:solidFill>
              <w14:schemeClr w14:val="tx1"/>
            </w14:solidFill>
          </w14:textFill>
        </w:rPr>
        <w:t>（支持时基微调）</w:t>
      </w:r>
    </w:p>
    <w:p>
      <w:pPr>
        <w:pStyle w:val="27"/>
        <w:numPr>
          <w:ilvl w:val="0"/>
          <w:numId w:val="2"/>
        </w:numPr>
        <w:ind w:firstLineChars="0"/>
        <w:rPr>
          <w:rFonts w:ascii="宋体" w:hAnsi="宋体" w:eastAsia="宋体" w:cs="Arial"/>
          <w:color w:val="000000" w:themeColor="text1"/>
          <w:szCs w:val="21"/>
          <w14:textFill>
            <w14:solidFill>
              <w14:schemeClr w14:val="tx1"/>
            </w14:solidFill>
          </w14:textFill>
        </w:rPr>
      </w:pPr>
      <w:r>
        <w:rPr>
          <w:rFonts w:ascii="宋体" w:hAnsi="宋体" w:eastAsia="宋体" w:cs="Arial"/>
          <w:color w:val="000000" w:themeColor="text1"/>
          <w:szCs w:val="21"/>
          <w14:textFill>
            <w14:solidFill>
              <w14:schemeClr w14:val="tx1"/>
            </w14:solidFill>
          </w14:textFill>
        </w:rPr>
        <w:t>水平模式</w:t>
      </w:r>
      <w:r>
        <w:rPr>
          <w:rFonts w:hint="eastAsia" w:ascii="宋体" w:hAnsi="宋体" w:eastAsia="宋体" w:cs="Arial"/>
          <w:color w:val="000000" w:themeColor="text1"/>
          <w:szCs w:val="21"/>
          <w14:textFill>
            <w14:solidFill>
              <w14:schemeClr w14:val="tx1"/>
            </w14:solidFill>
          </w14:textFill>
        </w:rPr>
        <w:t>：Y</w:t>
      </w:r>
      <w:r>
        <w:rPr>
          <w:rFonts w:ascii="宋体" w:hAnsi="宋体" w:eastAsia="宋体" w:cs="Arial"/>
          <w:color w:val="000000" w:themeColor="text1"/>
          <w:szCs w:val="21"/>
          <w14:textFill>
            <w14:solidFill>
              <w14:schemeClr w14:val="tx1"/>
            </w14:solidFill>
          </w14:textFill>
        </w:rPr>
        <w:t>T, XY, SCAN</w:t>
      </w:r>
      <w:r>
        <w:rPr>
          <w:rFonts w:hint="eastAsia" w:ascii="宋体" w:hAnsi="宋体" w:eastAsia="宋体" w:cs="Arial"/>
          <w:color w:val="000000" w:themeColor="text1"/>
          <w:szCs w:val="21"/>
          <w14:textFill>
            <w14:solidFill>
              <w14:schemeClr w14:val="tx1"/>
            </w14:solidFill>
          </w14:textFill>
        </w:rPr>
        <w:t xml:space="preserve">, </w:t>
      </w:r>
      <w:r>
        <w:rPr>
          <w:rFonts w:ascii="宋体" w:hAnsi="宋体" w:eastAsia="宋体" w:cs="Arial"/>
          <w:color w:val="000000" w:themeColor="text1"/>
          <w:szCs w:val="21"/>
          <w14:textFill>
            <w14:solidFill>
              <w14:schemeClr w14:val="tx1"/>
            </w14:solidFill>
          </w14:textFill>
        </w:rPr>
        <w:t>ROLL</w:t>
      </w:r>
    </w:p>
    <w:p>
      <w:pPr>
        <w:pStyle w:val="27"/>
        <w:numPr>
          <w:ilvl w:val="0"/>
          <w:numId w:val="2"/>
        </w:numPr>
        <w:ind w:firstLineChars="0"/>
        <w:rPr>
          <w:rFonts w:ascii="宋体" w:hAnsi="宋体" w:eastAsia="宋体" w:cs="Arial"/>
          <w:color w:val="000000" w:themeColor="text1"/>
          <w:szCs w:val="21"/>
          <w14:textFill>
            <w14:solidFill>
              <w14:schemeClr w14:val="tx1"/>
            </w14:solidFill>
          </w14:textFill>
        </w:rPr>
      </w:pPr>
      <w:r>
        <w:rPr>
          <w:rFonts w:ascii="宋体" w:hAnsi="宋体" w:eastAsia="宋体" w:cs="Arial"/>
          <w:color w:val="000000" w:themeColor="text1"/>
          <w:szCs w:val="21"/>
          <w14:textFill>
            <w14:solidFill>
              <w14:schemeClr w14:val="tx1"/>
            </w14:solidFill>
          </w14:textFill>
        </w:rPr>
        <w:t>提供</w:t>
      </w:r>
      <w:r>
        <w:rPr>
          <w:rFonts w:hint="eastAsia" w:ascii="宋体" w:hAnsi="宋体" w:eastAsia="宋体" w:cs="Arial"/>
          <w:color w:val="000000" w:themeColor="text1"/>
          <w:szCs w:val="21"/>
          <w14:textFill>
            <w14:solidFill>
              <w14:schemeClr w14:val="tx1"/>
            </w14:solidFill>
          </w14:textFill>
        </w:rPr>
        <w:t>数字电压表、频率计和4</w:t>
      </w:r>
      <w:r>
        <w:rPr>
          <w:rFonts w:ascii="宋体" w:hAnsi="宋体" w:eastAsia="宋体" w:cs="Arial"/>
          <w:color w:val="000000" w:themeColor="text1"/>
          <w:szCs w:val="21"/>
          <w14:textFill>
            <w14:solidFill>
              <w14:schemeClr w14:val="tx1"/>
            </w14:solidFill>
          </w14:textFill>
        </w:rPr>
        <w:t>8</w:t>
      </w:r>
      <w:r>
        <w:rPr>
          <w:rFonts w:hint="eastAsia" w:ascii="宋体" w:hAnsi="宋体" w:eastAsia="宋体" w:cs="Arial"/>
          <w:color w:val="000000" w:themeColor="text1"/>
          <w:szCs w:val="21"/>
          <w14:textFill>
            <w14:solidFill>
              <w14:schemeClr w14:val="tx1"/>
            </w14:solidFill>
          </w14:textFill>
        </w:rPr>
        <w:t>位累加计数器</w:t>
      </w:r>
    </w:p>
    <w:p>
      <w:pPr>
        <w:pStyle w:val="27"/>
        <w:numPr>
          <w:ilvl w:val="0"/>
          <w:numId w:val="2"/>
        </w:numPr>
        <w:ind w:firstLineChars="0"/>
        <w:rPr>
          <w:rFonts w:ascii="宋体" w:hAnsi="宋体" w:eastAsia="宋体" w:cs="Arial"/>
          <w:color w:val="000000" w:themeColor="text1"/>
          <w:szCs w:val="21"/>
          <w14:textFill>
            <w14:solidFill>
              <w14:schemeClr w14:val="tx1"/>
            </w14:solidFill>
          </w14:textFill>
        </w:rPr>
      </w:pPr>
      <w:r>
        <w:rPr>
          <w:rFonts w:hint="eastAsia" w:ascii="宋体" w:hAnsi="宋体" w:eastAsia="宋体" w:cs="Arial"/>
          <w:color w:val="000000" w:themeColor="text1"/>
          <w:szCs w:val="21"/>
          <w14:textFill>
            <w14:solidFill>
              <w14:schemeClr w14:val="tx1"/>
            </w14:solidFill>
          </w14:textFill>
        </w:rPr>
        <w:t>丰富的触发功能：</w:t>
      </w:r>
      <w:r>
        <w:rPr>
          <w:rFonts w:ascii="宋体" w:hAnsi="宋体" w:eastAsia="宋体" w:cs="Arial"/>
          <w:color w:val="000000" w:themeColor="text1"/>
          <w:szCs w:val="21"/>
          <w14:textFill>
            <w14:solidFill>
              <w14:schemeClr w14:val="tx1"/>
            </w14:solidFill>
          </w14:textFill>
        </w:rPr>
        <w:t>边沿、脉宽、斜率、视频、码型、持续时间、超时、欠幅脉冲、超幅、延迟、建立保持、第 N 边沿触发、I2C、SPI、RS232/UART、CAN</w:t>
      </w:r>
    </w:p>
    <w:p>
      <w:pPr>
        <w:pStyle w:val="27"/>
        <w:numPr>
          <w:ilvl w:val="0"/>
          <w:numId w:val="2"/>
        </w:numPr>
        <w:ind w:firstLineChars="0"/>
        <w:rPr>
          <w:rFonts w:ascii="宋体" w:hAnsi="宋体" w:eastAsia="宋体" w:cs="Arial"/>
          <w:color w:val="000000" w:themeColor="text1"/>
          <w:szCs w:val="21"/>
          <w14:textFill>
            <w14:solidFill>
              <w14:schemeClr w14:val="tx1"/>
            </w14:solidFill>
          </w14:textFill>
        </w:rPr>
      </w:pPr>
      <w:r>
        <w:rPr>
          <w:rFonts w:hint="eastAsia" w:ascii="宋体" w:hAnsi="宋体" w:eastAsia="宋体" w:cs="Arial"/>
          <w:color w:val="000000" w:themeColor="text1"/>
          <w:szCs w:val="21"/>
          <w14:textFill>
            <w14:solidFill>
              <w14:schemeClr w14:val="tx1"/>
            </w14:solidFill>
          </w14:textFill>
        </w:rPr>
        <w:t>丰富的串行总线解码功能：RS232、I2C、SPI、CAN，支持4个解码通道</w:t>
      </w:r>
    </w:p>
    <w:p>
      <w:pPr>
        <w:pStyle w:val="27"/>
        <w:numPr>
          <w:ilvl w:val="0"/>
          <w:numId w:val="2"/>
        </w:numPr>
        <w:ind w:firstLineChars="0"/>
        <w:rPr>
          <w:rFonts w:ascii="宋体" w:hAnsi="宋体" w:eastAsia="宋体" w:cs="Arial"/>
          <w:color w:val="000000" w:themeColor="text1"/>
          <w:szCs w:val="21"/>
          <w14:textFill>
            <w14:solidFill>
              <w14:schemeClr w14:val="tx1"/>
            </w14:solidFill>
          </w14:textFill>
        </w:rPr>
      </w:pPr>
      <w:r>
        <w:rPr>
          <w:rFonts w:hint="eastAsia" w:ascii="宋体" w:hAnsi="宋体" w:eastAsia="宋体" w:cs="Arial"/>
          <w:color w:val="000000" w:themeColor="text1"/>
          <w:szCs w:val="21"/>
          <w14:textFill>
            <w14:solidFill>
              <w14:schemeClr w14:val="tx1"/>
            </w14:solidFill>
          </w14:textFill>
        </w:rPr>
        <w:t>多种数学运算：加、减、乘、除、FFT、与、或、非、异或、Intg、Diff、Lg、Ln、Exp、Sqrt、Abs、AX+B、低通滤波、高通滤波、带通滤波、带阻滤波，内置增强FFT分析和峰值搜索功能</w:t>
      </w:r>
    </w:p>
    <w:p>
      <w:pPr>
        <w:pStyle w:val="27"/>
        <w:numPr>
          <w:ilvl w:val="0"/>
          <w:numId w:val="2"/>
        </w:numPr>
        <w:ind w:firstLineChars="0"/>
        <w:rPr>
          <w:rFonts w:ascii="宋体" w:hAnsi="宋体" w:eastAsia="宋体" w:cs="Arial"/>
          <w:color w:val="000000" w:themeColor="text1"/>
          <w:szCs w:val="21"/>
          <w14:textFill>
            <w14:solidFill>
              <w14:schemeClr w14:val="tx1"/>
            </w14:solidFill>
          </w14:textFill>
        </w:rPr>
      </w:pPr>
      <w:r>
        <w:rPr>
          <w:rFonts w:ascii="宋体" w:hAnsi="宋体" w:eastAsia="宋体" w:cs="Arial"/>
          <w:color w:val="000000" w:themeColor="text1"/>
          <w:szCs w:val="21"/>
          <w14:textFill>
            <w14:solidFill>
              <w14:schemeClr w14:val="tx1"/>
            </w14:solidFill>
          </w14:textFill>
        </w:rPr>
        <w:t>提供通过失败测试</w:t>
      </w:r>
      <w:r>
        <w:rPr>
          <w:rFonts w:hint="eastAsia" w:ascii="宋体" w:hAnsi="宋体" w:eastAsia="宋体" w:cs="Arial"/>
          <w:color w:val="000000" w:themeColor="text1"/>
          <w:szCs w:val="21"/>
          <w14:textFill>
            <w14:solidFill>
              <w14:schemeClr w14:val="tx1"/>
            </w14:solidFill>
          </w14:textFill>
        </w:rPr>
        <w:t>，</w:t>
      </w:r>
      <w:r>
        <w:rPr>
          <w:rFonts w:ascii="宋体" w:hAnsi="宋体" w:eastAsia="宋体" w:cs="Arial"/>
          <w:color w:val="000000" w:themeColor="text1"/>
          <w:szCs w:val="21"/>
          <w14:textFill>
            <w14:solidFill>
              <w14:schemeClr w14:val="tx1"/>
            </w14:solidFill>
          </w14:textFill>
        </w:rPr>
        <w:t>支持失败图形保存</w:t>
      </w:r>
      <w:r>
        <w:rPr>
          <w:rFonts w:hint="eastAsia" w:ascii="宋体" w:hAnsi="宋体" w:eastAsia="宋体" w:cs="Arial"/>
          <w:color w:val="000000" w:themeColor="text1"/>
          <w:szCs w:val="21"/>
          <w14:textFill>
            <w14:solidFill>
              <w14:schemeClr w14:val="tx1"/>
            </w14:solidFill>
          </w14:textFill>
        </w:rPr>
        <w:t>，</w:t>
      </w:r>
      <w:r>
        <w:rPr>
          <w:rFonts w:ascii="宋体" w:hAnsi="宋体" w:eastAsia="宋体" w:cs="Arial"/>
          <w:color w:val="000000" w:themeColor="text1"/>
          <w:szCs w:val="21"/>
          <w14:textFill>
            <w14:solidFill>
              <w14:schemeClr w14:val="tx1"/>
            </w14:solidFill>
          </w14:textFill>
        </w:rPr>
        <w:t>超限可报警，可设置输出脉冲信号</w:t>
      </w:r>
    </w:p>
    <w:p>
      <w:pPr>
        <w:pStyle w:val="27"/>
        <w:numPr>
          <w:ilvl w:val="0"/>
          <w:numId w:val="2"/>
        </w:numPr>
        <w:ind w:firstLineChars="0"/>
        <w:rPr>
          <w:rFonts w:ascii="宋体" w:hAnsi="宋体" w:eastAsia="宋体" w:cs="Arial"/>
          <w:color w:val="000000" w:themeColor="text1"/>
          <w:szCs w:val="21"/>
          <w14:textFill>
            <w14:solidFill>
              <w14:schemeClr w14:val="tx1"/>
            </w14:solidFill>
          </w14:textFill>
        </w:rPr>
      </w:pPr>
      <w:r>
        <w:rPr>
          <w:rFonts w:ascii="宋体" w:hAnsi="宋体" w:eastAsia="宋体" w:cs="Arial"/>
          <w:color w:val="000000" w:themeColor="text1"/>
          <w:szCs w:val="21"/>
          <w14:textFill>
            <w14:solidFill>
              <w14:schemeClr w14:val="tx1"/>
            </w14:solidFill>
          </w14:textFill>
        </w:rPr>
        <w:t>10.1 英寸 1280*800 高清触控显示屏</w:t>
      </w:r>
    </w:p>
    <w:p>
      <w:pPr>
        <w:pStyle w:val="27"/>
        <w:numPr>
          <w:ilvl w:val="0"/>
          <w:numId w:val="2"/>
        </w:numPr>
        <w:autoSpaceDE w:val="0"/>
        <w:autoSpaceDN w:val="0"/>
        <w:adjustRightInd w:val="0"/>
        <w:ind w:firstLineChars="0"/>
        <w:jc w:val="left"/>
        <w:rPr>
          <w:rFonts w:ascii="宋体" w:hAnsi="宋体" w:eastAsia="宋体" w:cs="Arial"/>
          <w:color w:val="000000" w:themeColor="text1"/>
          <w:szCs w:val="21"/>
          <w14:textFill>
            <w14:solidFill>
              <w14:schemeClr w14:val="tx1"/>
            </w14:solidFill>
          </w14:textFill>
        </w:rPr>
      </w:pPr>
      <w:r>
        <w:rPr>
          <w:rFonts w:hint="eastAsia" w:ascii="宋体" w:hAnsi="宋体" w:eastAsia="宋体" w:cs="Arial"/>
          <w:color w:val="000000" w:themeColor="text1"/>
          <w:szCs w:val="21"/>
          <w14:textFill>
            <w14:solidFill>
              <w14:schemeClr w14:val="tx1"/>
            </w14:solidFill>
          </w14:textFill>
        </w:rPr>
        <w:t>提供模拟通道波形的色温显示，不同颜色表示数据采集的次数或概率</w:t>
      </w:r>
    </w:p>
    <w:p>
      <w:pPr>
        <w:pStyle w:val="27"/>
        <w:numPr>
          <w:ilvl w:val="0"/>
          <w:numId w:val="2"/>
        </w:numPr>
        <w:ind w:firstLineChars="0"/>
        <w:rPr>
          <w:rFonts w:ascii="宋体" w:hAnsi="宋体" w:eastAsia="宋体" w:cs="Arial"/>
          <w:color w:val="000000" w:themeColor="text1"/>
          <w:szCs w:val="21"/>
          <w14:textFill>
            <w14:solidFill>
              <w14:schemeClr w14:val="tx1"/>
            </w14:solidFill>
          </w14:textFill>
        </w:rPr>
      </w:pPr>
      <w:r>
        <w:rPr>
          <w:rFonts w:hint="eastAsia" w:ascii="宋体" w:hAnsi="宋体" w:eastAsia="宋体" w:cs="Arial"/>
          <w:color w:val="000000" w:themeColor="text1"/>
          <w:szCs w:val="21"/>
          <w14:textFill>
            <w14:solidFill>
              <w14:schemeClr w14:val="tx1"/>
            </w14:solidFill>
          </w14:textFill>
        </w:rPr>
        <w:t>丰富的接口： USB Host 、USB Device、LAN(LXI)、HDMI、</w:t>
      </w:r>
      <w:r>
        <w:rPr>
          <w:rFonts w:ascii="宋体" w:hAnsi="宋体" w:eastAsia="宋体" w:cs="Arial"/>
          <w:color w:val="000000" w:themeColor="text1"/>
          <w:szCs w:val="21"/>
          <w14:textFill>
            <w14:solidFill>
              <w14:schemeClr w14:val="tx1"/>
            </w14:solidFill>
          </w14:textFill>
        </w:rPr>
        <w:t>AUX</w:t>
      </w:r>
      <w:r>
        <w:rPr>
          <w:rFonts w:hint="eastAsia" w:ascii="宋体" w:hAnsi="宋体" w:eastAsia="宋体" w:cs="Arial"/>
          <w:color w:val="000000" w:themeColor="text1"/>
          <w:szCs w:val="21"/>
          <w14:textFill>
            <w14:solidFill>
              <w14:schemeClr w14:val="tx1"/>
            </w14:solidFill>
          </w14:textFill>
        </w:rPr>
        <w:t xml:space="preserve"> OUT</w:t>
      </w:r>
    </w:p>
    <w:p>
      <w:pPr>
        <w:pStyle w:val="27"/>
        <w:numPr>
          <w:ilvl w:val="0"/>
          <w:numId w:val="2"/>
        </w:numPr>
        <w:ind w:firstLineChars="0"/>
        <w:rPr>
          <w:rFonts w:ascii="宋体" w:hAnsi="宋体" w:eastAsia="宋体" w:cs="Arial"/>
          <w:color w:val="000000" w:themeColor="text1"/>
          <w:szCs w:val="21"/>
          <w14:textFill>
            <w14:solidFill>
              <w14:schemeClr w14:val="tx1"/>
            </w14:solidFill>
          </w14:textFill>
        </w:rPr>
      </w:pPr>
      <w:r>
        <w:rPr>
          <w:rFonts w:ascii="宋体" w:hAnsi="宋体" w:eastAsia="宋体" w:cs="Arial"/>
          <w:color w:val="000000" w:themeColor="text1"/>
          <w:szCs w:val="21"/>
          <w14:textFill>
            <w14:solidFill>
              <w14:schemeClr w14:val="tx1"/>
            </w14:solidFill>
          </w14:textFill>
        </w:rPr>
        <w:t>支持</w:t>
      </w:r>
      <w:r>
        <w:rPr>
          <w:rFonts w:hint="eastAsia" w:ascii="宋体" w:hAnsi="宋体" w:eastAsia="宋体" w:cs="Arial"/>
          <w:color w:val="000000" w:themeColor="text1"/>
          <w:szCs w:val="21"/>
          <w14:textFill>
            <w14:solidFill>
              <w14:schemeClr w14:val="tx1"/>
            </w14:solidFill>
          </w14:textFill>
        </w:rPr>
        <w:t>USB和网络打印机</w:t>
      </w:r>
    </w:p>
    <w:p>
      <w:pPr>
        <w:pStyle w:val="27"/>
        <w:numPr>
          <w:ilvl w:val="0"/>
          <w:numId w:val="2"/>
        </w:numPr>
        <w:ind w:firstLineChars="0"/>
        <w:rPr>
          <w:rFonts w:ascii="宋体" w:hAnsi="宋体" w:eastAsia="宋体" w:cs="Arial"/>
          <w:color w:val="000000" w:themeColor="text1"/>
          <w:szCs w:val="21"/>
          <w14:textFill>
            <w14:solidFill>
              <w14:schemeClr w14:val="tx1"/>
            </w14:solidFill>
          </w14:textFill>
        </w:rPr>
      </w:pPr>
      <w:r>
        <w:rPr>
          <w:rFonts w:ascii="宋体" w:hAnsi="宋体" w:eastAsia="宋体" w:cs="Arial"/>
          <w:color w:val="000000" w:themeColor="text1"/>
          <w:szCs w:val="21"/>
          <w14:textFill>
            <w14:solidFill>
              <w14:schemeClr w14:val="tx1"/>
            </w14:solidFill>
          </w14:textFill>
        </w:rPr>
        <w:t>支持电子邮件发送</w:t>
      </w:r>
    </w:p>
    <w:p>
      <w:pPr>
        <w:pStyle w:val="27"/>
        <w:numPr>
          <w:ilvl w:val="0"/>
          <w:numId w:val="2"/>
        </w:numPr>
        <w:ind w:firstLineChars="0"/>
        <w:rPr>
          <w:rFonts w:ascii="宋体" w:hAnsi="宋体" w:eastAsia="宋体" w:cs="Arial"/>
          <w:color w:val="000000" w:themeColor="text1"/>
          <w:szCs w:val="21"/>
          <w14:textFill>
            <w14:solidFill>
              <w14:schemeClr w14:val="tx1"/>
            </w14:solidFill>
          </w14:textFill>
        </w:rPr>
      </w:pPr>
      <w:r>
        <w:rPr>
          <w:rFonts w:hint="eastAsia" w:ascii="宋体" w:hAnsi="宋体" w:eastAsia="宋体" w:cs="Arial"/>
          <w:color w:val="000000" w:themeColor="text1"/>
          <w:szCs w:val="21"/>
          <w14:textFill>
            <w14:solidFill>
              <w14:schemeClr w14:val="tx1"/>
            </w14:solidFill>
          </w14:textFill>
        </w:rPr>
        <w:t>支持Web Control远程命令控制</w:t>
      </w:r>
    </w:p>
    <w:p>
      <w:pPr>
        <w:widowControl/>
        <w:jc w:val="left"/>
        <w:rPr>
          <w:rFonts w:ascii="宋体" w:hAnsi="宋体" w:eastAsia="宋体" w:cs="Arial"/>
          <w:color w:val="000000" w:themeColor="text1"/>
          <w:szCs w:val="21"/>
          <w14:textFill>
            <w14:solidFill>
              <w14:schemeClr w14:val="tx1"/>
            </w14:solidFill>
          </w14:textFill>
        </w:rPr>
      </w:pPr>
      <w:r>
        <w:rPr>
          <w:rFonts w:ascii="宋体" w:hAnsi="宋体" w:eastAsia="宋体" w:cs="Arial"/>
          <w:color w:val="000000" w:themeColor="text1"/>
          <w:szCs w:val="21"/>
          <w14:textFill>
            <w14:solidFill>
              <w14:schemeClr w14:val="tx1"/>
            </w14:solidFill>
          </w14:textFill>
        </w:rPr>
        <w:br w:type="page"/>
      </w:r>
    </w:p>
    <w:p>
      <w:pPr>
        <w:jc w:val="center"/>
        <w:outlineLvl w:val="0"/>
        <w:rPr>
          <w:rFonts w:hint="eastAsia" w:ascii="宋体" w:hAnsi="宋体" w:eastAsia="宋体" w:cs="宋体"/>
          <w:b/>
          <w:bCs/>
          <w:sz w:val="28"/>
          <w:szCs w:val="28"/>
        </w:rPr>
      </w:pPr>
      <w:r>
        <w:rPr>
          <w:rFonts w:hint="eastAsia" w:ascii="宋体" w:hAnsi="宋体" w:eastAsia="宋体" w:cs="宋体"/>
          <w:b/>
          <w:bCs/>
          <w:sz w:val="28"/>
          <w:szCs w:val="28"/>
        </w:rPr>
        <w:t>三通道直流电源</w:t>
      </w:r>
    </w:p>
    <w:p>
      <w:pPr>
        <w:pStyle w:val="27"/>
        <w:ind w:left="420" w:firstLine="0" w:firstLineChars="0"/>
        <w:rPr>
          <w:rFonts w:hint="eastAsia" w:asciiTheme="minorEastAsia" w:hAnsiTheme="minorEastAsia" w:eastAsiaTheme="minorEastAsia" w:cstheme="minorEastAsia"/>
          <w:szCs w:val="21"/>
        </w:rPr>
      </w:pPr>
    </w:p>
    <w:p>
      <w:pPr>
        <w:pStyle w:val="27"/>
        <w:numPr>
          <w:ilvl w:val="0"/>
          <w:numId w:val="3"/>
        </w:numPr>
        <w:ind w:firstLineChars="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直流输出：</w:t>
      </w:r>
      <w:r>
        <w:rPr>
          <w:rFonts w:hint="eastAsia" w:asciiTheme="minorEastAsia" w:hAnsiTheme="minorEastAsia" w:eastAsiaTheme="minorEastAsia" w:cstheme="minorEastAsia"/>
          <w:szCs w:val="21"/>
          <w:lang w:val="pt-BR"/>
        </w:rPr>
        <w:t>CH1: 0</w:t>
      </w:r>
      <w:r>
        <w:rPr>
          <w:rFonts w:hint="eastAsia" w:asciiTheme="minorEastAsia" w:hAnsiTheme="minorEastAsia" w:eastAsiaTheme="minorEastAsia" w:cstheme="minorEastAsia"/>
          <w:szCs w:val="21"/>
        </w:rPr>
        <w:t>~32</w:t>
      </w:r>
      <w:r>
        <w:rPr>
          <w:rFonts w:hint="eastAsia" w:asciiTheme="minorEastAsia" w:hAnsiTheme="minorEastAsia" w:eastAsiaTheme="minorEastAsia" w:cstheme="minorEastAsia"/>
          <w:szCs w:val="21"/>
          <w:lang w:val="pt-BR"/>
        </w:rPr>
        <w:t>V/0</w:t>
      </w:r>
      <w:r>
        <w:rPr>
          <w:rFonts w:hint="eastAsia" w:asciiTheme="minorEastAsia" w:hAnsiTheme="minorEastAsia" w:eastAsiaTheme="minorEastAsia" w:cstheme="minorEastAsia"/>
          <w:szCs w:val="21"/>
        </w:rPr>
        <w:t>~3A，</w:t>
      </w:r>
      <w:r>
        <w:rPr>
          <w:rFonts w:hint="eastAsia" w:asciiTheme="minorEastAsia" w:hAnsiTheme="minorEastAsia" w:eastAsiaTheme="minorEastAsia" w:cstheme="minorEastAsia"/>
          <w:szCs w:val="21"/>
          <w:lang w:val="pt-BR"/>
        </w:rPr>
        <w:t>CH2: 0</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pt-BR"/>
        </w:rPr>
        <w:t>32V/0-</w:t>
      </w:r>
      <w:r>
        <w:rPr>
          <w:rFonts w:hint="eastAsia" w:asciiTheme="minorEastAsia" w:hAnsiTheme="minorEastAsia" w:eastAsiaTheme="minorEastAsia" w:cstheme="minorEastAsia"/>
          <w:szCs w:val="21"/>
        </w:rPr>
        <w:t>3A，</w:t>
      </w:r>
      <w:r>
        <w:rPr>
          <w:rFonts w:hint="eastAsia" w:asciiTheme="minorEastAsia" w:hAnsiTheme="minorEastAsia" w:eastAsiaTheme="minorEastAsia" w:cstheme="minorEastAsia"/>
          <w:szCs w:val="21"/>
          <w:lang w:val="pt-BR"/>
        </w:rPr>
        <w:t>CH3: 0</w:t>
      </w:r>
      <w:r>
        <w:rPr>
          <w:rFonts w:hint="eastAsia" w:asciiTheme="minorEastAsia" w:hAnsiTheme="minorEastAsia" w:eastAsiaTheme="minorEastAsia" w:cstheme="minorEastAsia"/>
          <w:szCs w:val="21"/>
        </w:rPr>
        <w:t>~6V</w:t>
      </w:r>
      <w:r>
        <w:rPr>
          <w:rFonts w:hint="eastAsia" w:asciiTheme="minorEastAsia" w:hAnsiTheme="minorEastAsia" w:eastAsiaTheme="minorEastAsia" w:cstheme="minorEastAsia"/>
          <w:szCs w:val="21"/>
          <w:lang w:val="pt-BR"/>
        </w:rPr>
        <w:t>/0-</w:t>
      </w:r>
      <w:r>
        <w:rPr>
          <w:rFonts w:hint="eastAsia" w:asciiTheme="minorEastAsia" w:hAnsiTheme="minorEastAsia" w:eastAsiaTheme="minorEastAsia" w:cstheme="minorEastAsia"/>
          <w:szCs w:val="21"/>
        </w:rPr>
        <w:t xml:space="preserve">3A </w:t>
      </w:r>
    </w:p>
    <w:p>
      <w:pPr>
        <w:pStyle w:val="27"/>
        <w:numPr>
          <w:ilvl w:val="0"/>
          <w:numId w:val="3"/>
        </w:numPr>
        <w:ind w:firstLineChars="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前面板安全端子</w:t>
      </w:r>
    </w:p>
    <w:p>
      <w:pPr>
        <w:pStyle w:val="27"/>
        <w:numPr>
          <w:ilvl w:val="0"/>
          <w:numId w:val="3"/>
        </w:numPr>
        <w:ind w:firstLineChars="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分辨率：</w:t>
      </w:r>
    </w:p>
    <w:p>
      <w:pPr>
        <w:pStyle w:val="27"/>
        <w:ind w:left="420" w:firstLine="0" w:firstLineChars="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编程：10mV/1mA（安装高分辨率选件后可达1mV/1mA）</w:t>
      </w:r>
    </w:p>
    <w:p>
      <w:pPr>
        <w:pStyle w:val="27"/>
        <w:ind w:left="420" w:firstLine="0" w:firstLineChars="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回读：10mV/1mA（安装高分辨率选件后可达0.1mV/0.1mA）</w:t>
      </w:r>
    </w:p>
    <w:p>
      <w:pPr>
        <w:pStyle w:val="27"/>
        <w:ind w:left="420" w:firstLine="0" w:firstLineChars="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显示：10mV/1mA（安装高分辨率选件后可达1mV/1mA）</w:t>
      </w:r>
    </w:p>
    <w:p>
      <w:pPr>
        <w:pStyle w:val="27"/>
        <w:numPr>
          <w:ilvl w:val="0"/>
          <w:numId w:val="3"/>
        </w:numPr>
        <w:ind w:firstLineChars="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纹波与噪声：≤350uVrms/2mVpp</w:t>
      </w:r>
    </w:p>
    <w:p>
      <w:pPr>
        <w:pStyle w:val="27"/>
        <w:numPr>
          <w:ilvl w:val="0"/>
          <w:numId w:val="3"/>
        </w:numPr>
        <w:ind w:firstLineChars="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瞬态响应：&lt;50us</w:t>
      </w:r>
    </w:p>
    <w:p>
      <w:pPr>
        <w:pStyle w:val="27"/>
        <w:numPr>
          <w:ilvl w:val="0"/>
          <w:numId w:val="3"/>
        </w:numPr>
        <w:ind w:firstLineChars="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命令处理时间＜10ms</w:t>
      </w:r>
    </w:p>
    <w:p>
      <w:pPr>
        <w:pStyle w:val="27"/>
        <w:numPr>
          <w:ilvl w:val="0"/>
          <w:numId w:val="3"/>
        </w:numPr>
        <w:ind w:firstLineChars="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支持自动串联/并联功能</w:t>
      </w:r>
    </w:p>
    <w:p>
      <w:pPr>
        <w:pStyle w:val="27"/>
        <w:numPr>
          <w:ilvl w:val="0"/>
          <w:numId w:val="3"/>
        </w:numPr>
        <w:ind w:firstLineChars="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年准确度：</w:t>
      </w:r>
    </w:p>
    <w:p>
      <w:pPr>
        <w:pStyle w:val="27"/>
        <w:ind w:left="420" w:firstLine="0" w:firstLineChars="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编程：</w:t>
      </w:r>
    </w:p>
    <w:p>
      <w:pPr>
        <w:pStyle w:val="27"/>
        <w:ind w:left="420" w:firstLine="0" w:firstLineChars="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CH1&amp;CH2: 0.05%+20mV；0.2%+5mA</w:t>
      </w:r>
    </w:p>
    <w:p>
      <w:pPr>
        <w:pStyle w:val="27"/>
        <w:ind w:left="420" w:firstLine="0" w:firstLineChars="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CH3: 0.1%+5mV；0.2%+5mA</w:t>
      </w:r>
    </w:p>
    <w:p>
      <w:pPr>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回读：</w:t>
      </w:r>
    </w:p>
    <w:p>
      <w:pPr>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CH1&amp;CH2: 0.05%+20mV；0.15%+5mA</w:t>
      </w:r>
    </w:p>
    <w:p>
      <w:pPr>
        <w:pStyle w:val="27"/>
        <w:ind w:left="420" w:firstLine="0" w:firstLineChars="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CH3: 0.1%+5mV；0.15%+5mA</w:t>
      </w:r>
    </w:p>
    <w:p>
      <w:pPr>
        <w:pStyle w:val="27"/>
        <w:numPr>
          <w:ilvl w:val="0"/>
          <w:numId w:val="3"/>
        </w:numPr>
        <w:ind w:firstLineChars="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负载调节率：Voltage: ＜0.01% + 2mV；Current: ＜0.01% + 250μA</w:t>
      </w:r>
    </w:p>
    <w:p>
      <w:pPr>
        <w:pStyle w:val="27"/>
        <w:numPr>
          <w:ilvl w:val="0"/>
          <w:numId w:val="3"/>
        </w:numPr>
        <w:ind w:firstLineChars="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电源调节率：Voltage: ＜0.01% + 2mV，Current: ＜0.01% + 250μA</w:t>
      </w:r>
    </w:p>
    <w:p>
      <w:pPr>
        <w:pStyle w:val="27"/>
        <w:numPr>
          <w:ilvl w:val="0"/>
          <w:numId w:val="3"/>
        </w:numPr>
        <w:ind w:firstLineChars="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输出开关：三路开关可分别控制</w:t>
      </w:r>
    </w:p>
    <w:p>
      <w:pPr>
        <w:pStyle w:val="27"/>
        <w:numPr>
          <w:ilvl w:val="0"/>
          <w:numId w:val="3"/>
        </w:numPr>
        <w:ind w:firstLineChars="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显示屏：4.3英寸触控屏</w:t>
      </w:r>
    </w:p>
    <w:p>
      <w:pPr>
        <w:pStyle w:val="27"/>
        <w:numPr>
          <w:ilvl w:val="0"/>
          <w:numId w:val="3"/>
        </w:numPr>
        <w:ind w:firstLineChars="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可同时显示每个通道的设置值和实际输出值</w:t>
      </w:r>
    </w:p>
    <w:p>
      <w:pPr>
        <w:pStyle w:val="23"/>
        <w:numPr>
          <w:ilvl w:val="0"/>
          <w:numId w:val="3"/>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提供过压/过流保护功能</w:t>
      </w:r>
    </w:p>
    <w:p>
      <w:pPr>
        <w:pStyle w:val="23"/>
        <w:numPr>
          <w:ilvl w:val="0"/>
          <w:numId w:val="3"/>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具有过温保护功能</w:t>
      </w:r>
    </w:p>
    <w:p>
      <w:pPr>
        <w:pStyle w:val="23"/>
        <w:numPr>
          <w:ilvl w:val="0"/>
          <w:numId w:val="3"/>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具有定时输出功能，支持无限及指定循环次数的输出</w:t>
      </w:r>
    </w:p>
    <w:p>
      <w:pPr>
        <w:pStyle w:val="23"/>
        <w:numPr>
          <w:ilvl w:val="0"/>
          <w:numId w:val="3"/>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具有跟踪功能，支持通道电压设置值和输出开关状态跟踪</w:t>
      </w:r>
    </w:p>
    <w:p>
      <w:pPr>
        <w:pStyle w:val="23"/>
        <w:numPr>
          <w:ilvl w:val="0"/>
          <w:numId w:val="3"/>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支持在线分析器，可在线分析多种统计参数</w:t>
      </w:r>
    </w:p>
    <w:p>
      <w:pPr>
        <w:pStyle w:val="23"/>
        <w:numPr>
          <w:ilvl w:val="0"/>
          <w:numId w:val="3"/>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专用预置键，可一键恢复出厂设置</w:t>
      </w:r>
    </w:p>
    <w:p>
      <w:pPr>
        <w:pStyle w:val="23"/>
        <w:numPr>
          <w:ilvl w:val="0"/>
          <w:numId w:val="3"/>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标准配置接口：USB HOST、USB DEVICE、LAN（符合LXI标准）、Digital I/O（选件）</w:t>
      </w:r>
    </w:p>
    <w:p>
      <w:pPr>
        <w:widowControl/>
        <w:jc w:val="left"/>
        <w:rPr>
          <w:rFonts w:ascii="宋体" w:hAnsi="宋体" w:eastAsia="宋体" w:cs="Arial"/>
          <w:color w:val="000000" w:themeColor="text1"/>
          <w:szCs w:val="21"/>
          <w14:textFill>
            <w14:solidFill>
              <w14:schemeClr w14:val="tx1"/>
            </w14:solidFill>
          </w14:textFill>
        </w:rPr>
      </w:pPr>
      <w:r>
        <w:rPr>
          <w:rFonts w:ascii="宋体" w:hAnsi="宋体" w:eastAsia="宋体" w:cs="Arial"/>
          <w:color w:val="000000" w:themeColor="text1"/>
          <w:szCs w:val="21"/>
          <w14:textFill>
            <w14:solidFill>
              <w14:schemeClr w14:val="tx1"/>
            </w14:solidFill>
          </w14:textFill>
        </w:rPr>
        <w:br w:type="page"/>
      </w:r>
    </w:p>
    <w:p>
      <w:pPr>
        <w:jc w:val="center"/>
        <w:outlineLvl w:val="0"/>
        <w:rPr>
          <w:rFonts w:hint="eastAsia" w:ascii="宋体" w:hAnsi="宋体" w:eastAsia="宋体" w:cs="宋体"/>
          <w:b/>
          <w:bCs/>
          <w:sz w:val="28"/>
          <w:szCs w:val="28"/>
        </w:rPr>
      </w:pPr>
      <w:r>
        <w:rPr>
          <w:rFonts w:hint="eastAsia" w:ascii="宋体" w:hAnsi="宋体" w:eastAsia="宋体" w:cs="宋体"/>
          <w:b/>
          <w:bCs/>
          <w:sz w:val="28"/>
          <w:szCs w:val="28"/>
        </w:rPr>
        <w:t>可编程直流电子负载</w:t>
      </w:r>
    </w:p>
    <w:p>
      <w:pPr>
        <w:numPr>
          <w:ilvl w:val="0"/>
          <w:numId w:val="4"/>
        </w:numPr>
        <w:rPr>
          <w:rFonts w:ascii="宋体" w:hAnsi="宋体" w:eastAsia="宋体" w:cs="Arial"/>
          <w:szCs w:val="21"/>
        </w:rPr>
      </w:pPr>
      <w:r>
        <w:rPr>
          <w:rFonts w:hint="eastAsia" w:ascii="宋体" w:hAnsi="宋体" w:eastAsia="宋体" w:cs="Arial"/>
          <w:szCs w:val="21"/>
        </w:rPr>
        <w:t>单通道，DC 150 V/40 A，最大总功率达200 W</w:t>
      </w:r>
    </w:p>
    <w:p>
      <w:pPr>
        <w:numPr>
          <w:ilvl w:val="0"/>
          <w:numId w:val="4"/>
        </w:numPr>
        <w:rPr>
          <w:rFonts w:ascii="宋体" w:hAnsi="宋体" w:eastAsia="宋体" w:cs="Arial"/>
          <w:szCs w:val="21"/>
        </w:rPr>
      </w:pPr>
      <w:r>
        <w:rPr>
          <w:rFonts w:hint="eastAsia" w:ascii="宋体" w:hAnsi="宋体" w:eastAsia="宋体" w:cs="Arial"/>
          <w:szCs w:val="21"/>
        </w:rPr>
        <w:t>动态模式最快频率30</w:t>
      </w:r>
      <w:r>
        <w:rPr>
          <w:rFonts w:ascii="宋体" w:hAnsi="宋体" w:eastAsia="宋体" w:cs="Arial"/>
          <w:szCs w:val="21"/>
        </w:rPr>
        <w:t>KHz</w:t>
      </w:r>
    </w:p>
    <w:p>
      <w:pPr>
        <w:pStyle w:val="27"/>
        <w:numPr>
          <w:ilvl w:val="0"/>
          <w:numId w:val="4"/>
        </w:numPr>
        <w:ind w:firstLineChars="0"/>
        <w:rPr>
          <w:rFonts w:ascii="宋体" w:hAnsi="宋体" w:eastAsia="宋体" w:cs="Arial"/>
          <w:szCs w:val="21"/>
        </w:rPr>
      </w:pPr>
      <w:r>
        <w:rPr>
          <w:rFonts w:hint="eastAsia" w:ascii="宋体" w:hAnsi="宋体" w:eastAsia="宋体" w:cs="Arial"/>
          <w:szCs w:val="21"/>
        </w:rPr>
        <w:t>可调电流上升速度</w:t>
      </w:r>
      <w:r>
        <w:rPr>
          <w:rFonts w:ascii="宋体" w:hAnsi="宋体" w:eastAsia="宋体" w:cs="Arial"/>
          <w:szCs w:val="21"/>
        </w:rPr>
        <w:t>0.001 A/μs~3 A/μs</w:t>
      </w:r>
    </w:p>
    <w:p>
      <w:pPr>
        <w:pStyle w:val="27"/>
        <w:numPr>
          <w:ilvl w:val="0"/>
          <w:numId w:val="4"/>
        </w:numPr>
        <w:ind w:firstLineChars="0"/>
        <w:rPr>
          <w:rFonts w:ascii="宋体" w:hAnsi="宋体" w:eastAsia="宋体" w:cs="Arial"/>
          <w:szCs w:val="21"/>
        </w:rPr>
      </w:pPr>
      <w:r>
        <w:rPr>
          <w:rFonts w:hint="eastAsia" w:ascii="宋体" w:hAnsi="宋体" w:eastAsia="宋体" w:cs="Arial"/>
          <w:szCs w:val="21"/>
        </w:rPr>
        <w:t>最小回读分辨率1 mV，</w:t>
      </w:r>
      <w:r>
        <w:rPr>
          <w:rFonts w:ascii="宋体" w:hAnsi="宋体" w:eastAsia="宋体" w:cs="Arial"/>
          <w:szCs w:val="21"/>
        </w:rPr>
        <w:t>0.1 mA</w:t>
      </w:r>
      <w:r>
        <w:rPr>
          <w:rFonts w:hint="eastAsia" w:ascii="宋体" w:hAnsi="宋体" w:eastAsia="宋体" w:cs="Arial"/>
          <w:szCs w:val="21"/>
        </w:rPr>
        <w:t>，</w:t>
      </w:r>
    </w:p>
    <w:p>
      <w:pPr>
        <w:pStyle w:val="27"/>
        <w:numPr>
          <w:ilvl w:val="0"/>
          <w:numId w:val="4"/>
        </w:numPr>
        <w:ind w:firstLineChars="0"/>
        <w:rPr>
          <w:rFonts w:ascii="宋体" w:hAnsi="宋体" w:eastAsia="宋体" w:cs="Arial"/>
          <w:szCs w:val="21"/>
        </w:rPr>
      </w:pPr>
      <w:r>
        <w:rPr>
          <w:rFonts w:hint="eastAsia" w:ascii="宋体" w:hAnsi="宋体" w:eastAsia="宋体" w:cs="Arial"/>
          <w:szCs w:val="21"/>
        </w:rPr>
        <w:t>C</w:t>
      </w:r>
      <w:r>
        <w:rPr>
          <w:rFonts w:ascii="宋体" w:hAnsi="宋体" w:eastAsia="宋体" w:cs="Arial"/>
          <w:szCs w:val="21"/>
        </w:rPr>
        <w:t>C</w:t>
      </w:r>
      <w:r>
        <w:rPr>
          <w:rFonts w:hint="eastAsia" w:ascii="宋体" w:hAnsi="宋体" w:eastAsia="宋体" w:cs="Arial"/>
          <w:szCs w:val="21"/>
        </w:rPr>
        <w:t>模式编程精度±</w:t>
      </w:r>
      <w:r>
        <w:rPr>
          <w:rFonts w:ascii="宋体" w:hAnsi="宋体" w:eastAsia="宋体" w:cs="Arial"/>
          <w:szCs w:val="21"/>
        </w:rPr>
        <w:t>(0.05%+0.05%FS)</w:t>
      </w:r>
    </w:p>
    <w:p>
      <w:pPr>
        <w:pStyle w:val="27"/>
        <w:numPr>
          <w:ilvl w:val="0"/>
          <w:numId w:val="4"/>
        </w:numPr>
        <w:ind w:firstLineChars="0"/>
        <w:rPr>
          <w:rFonts w:ascii="宋体" w:hAnsi="宋体" w:eastAsia="宋体" w:cs="Arial"/>
          <w:szCs w:val="21"/>
        </w:rPr>
      </w:pPr>
      <w:r>
        <w:rPr>
          <w:rFonts w:hint="eastAsia" w:ascii="宋体" w:hAnsi="宋体" w:eastAsia="宋体" w:cs="Arial"/>
          <w:szCs w:val="21"/>
        </w:rPr>
        <w:t>回读电流精度±</w:t>
      </w:r>
      <w:r>
        <w:rPr>
          <w:rFonts w:ascii="宋体" w:hAnsi="宋体" w:eastAsia="宋体" w:cs="Arial"/>
          <w:szCs w:val="21"/>
        </w:rPr>
        <w:t>(0.05%+0.05%FS)</w:t>
      </w:r>
      <w:r>
        <w:rPr>
          <w:rFonts w:hint="eastAsia" w:ascii="宋体" w:hAnsi="宋体" w:eastAsia="宋体" w:cs="Arial"/>
          <w:szCs w:val="21"/>
        </w:rPr>
        <w:t>；回读电压精度±</w:t>
      </w:r>
      <w:r>
        <w:rPr>
          <w:rFonts w:ascii="宋体" w:hAnsi="宋体" w:eastAsia="宋体" w:cs="Arial"/>
          <w:szCs w:val="21"/>
        </w:rPr>
        <w:t>(0.05%+0.02%FS)</w:t>
      </w:r>
    </w:p>
    <w:p>
      <w:pPr>
        <w:pStyle w:val="27"/>
        <w:numPr>
          <w:ilvl w:val="0"/>
          <w:numId w:val="4"/>
        </w:numPr>
        <w:ind w:firstLineChars="0"/>
        <w:rPr>
          <w:rFonts w:ascii="宋体" w:hAnsi="宋体" w:eastAsia="宋体" w:cs="Arial"/>
          <w:szCs w:val="21"/>
        </w:rPr>
      </w:pPr>
      <w:r>
        <w:rPr>
          <w:rFonts w:hint="eastAsia" w:ascii="宋体" w:hAnsi="宋体" w:eastAsia="宋体" w:cs="Arial"/>
          <w:szCs w:val="21"/>
        </w:rPr>
        <w:t>四种静态模式：定电压（C</w:t>
      </w:r>
      <w:r>
        <w:rPr>
          <w:rFonts w:ascii="宋体" w:hAnsi="宋体" w:eastAsia="宋体" w:cs="Arial"/>
          <w:szCs w:val="21"/>
        </w:rPr>
        <w:t>V</w:t>
      </w:r>
      <w:r>
        <w:rPr>
          <w:rFonts w:hint="eastAsia" w:ascii="宋体" w:hAnsi="宋体" w:eastAsia="宋体" w:cs="Arial"/>
          <w:szCs w:val="21"/>
        </w:rPr>
        <w:t>）、定电流（C</w:t>
      </w:r>
      <w:r>
        <w:rPr>
          <w:rFonts w:ascii="宋体" w:hAnsi="宋体" w:eastAsia="宋体" w:cs="Arial"/>
          <w:szCs w:val="21"/>
        </w:rPr>
        <w:t>C</w:t>
      </w:r>
      <w:r>
        <w:rPr>
          <w:rFonts w:hint="eastAsia" w:ascii="宋体" w:hAnsi="宋体" w:eastAsia="宋体" w:cs="Arial"/>
          <w:szCs w:val="21"/>
        </w:rPr>
        <w:t>）、定电阻（C</w:t>
      </w:r>
      <w:r>
        <w:rPr>
          <w:rFonts w:ascii="宋体" w:hAnsi="宋体" w:eastAsia="宋体" w:cs="Arial"/>
          <w:szCs w:val="21"/>
        </w:rPr>
        <w:t>R</w:t>
      </w:r>
      <w:r>
        <w:rPr>
          <w:rFonts w:hint="eastAsia" w:ascii="宋体" w:hAnsi="宋体" w:eastAsia="宋体" w:cs="Arial"/>
          <w:szCs w:val="21"/>
        </w:rPr>
        <w:t>）、定功率（C</w:t>
      </w:r>
      <w:r>
        <w:rPr>
          <w:rFonts w:ascii="宋体" w:hAnsi="宋体" w:eastAsia="宋体" w:cs="Arial"/>
          <w:szCs w:val="21"/>
        </w:rPr>
        <w:t>P</w:t>
      </w:r>
      <w:r>
        <w:rPr>
          <w:rFonts w:hint="eastAsia" w:ascii="宋体" w:hAnsi="宋体" w:eastAsia="宋体" w:cs="Arial"/>
          <w:szCs w:val="21"/>
        </w:rPr>
        <w:t>）</w:t>
      </w:r>
    </w:p>
    <w:p>
      <w:pPr>
        <w:pStyle w:val="27"/>
        <w:numPr>
          <w:ilvl w:val="0"/>
          <w:numId w:val="4"/>
        </w:numPr>
        <w:ind w:firstLineChars="0"/>
        <w:rPr>
          <w:rFonts w:ascii="宋体" w:hAnsi="宋体" w:eastAsia="宋体" w:cs="Arial"/>
          <w:szCs w:val="21"/>
        </w:rPr>
      </w:pPr>
      <w:r>
        <w:rPr>
          <w:rFonts w:hint="eastAsia" w:ascii="宋体" w:hAnsi="宋体" w:eastAsia="宋体" w:cs="Arial"/>
          <w:szCs w:val="21"/>
        </w:rPr>
        <w:t>三种动态模式：连续模式（C</w:t>
      </w:r>
      <w:r>
        <w:rPr>
          <w:rFonts w:ascii="宋体" w:hAnsi="宋体" w:eastAsia="宋体" w:cs="Arial"/>
          <w:szCs w:val="21"/>
        </w:rPr>
        <w:t>on</w:t>
      </w:r>
      <w:r>
        <w:rPr>
          <w:rFonts w:hint="eastAsia" w:ascii="宋体" w:hAnsi="宋体" w:eastAsia="宋体" w:cs="Arial"/>
          <w:szCs w:val="21"/>
        </w:rPr>
        <w:t>）、脉冲模式（</w:t>
      </w:r>
      <w:r>
        <w:rPr>
          <w:rFonts w:ascii="宋体" w:hAnsi="宋体" w:eastAsia="宋体" w:cs="Arial"/>
          <w:szCs w:val="21"/>
        </w:rPr>
        <w:t>Pul</w:t>
      </w:r>
      <w:r>
        <w:rPr>
          <w:rFonts w:hint="eastAsia" w:ascii="宋体" w:hAnsi="宋体" w:eastAsia="宋体" w:cs="Arial"/>
          <w:szCs w:val="21"/>
        </w:rPr>
        <w:t>）、翻转模式（</w:t>
      </w:r>
      <w:r>
        <w:rPr>
          <w:rFonts w:ascii="宋体" w:hAnsi="宋体" w:eastAsia="宋体" w:cs="Arial"/>
          <w:szCs w:val="21"/>
        </w:rPr>
        <w:t>T</w:t>
      </w:r>
      <w:r>
        <w:rPr>
          <w:rFonts w:hint="eastAsia" w:ascii="宋体" w:hAnsi="宋体" w:eastAsia="宋体" w:cs="Arial"/>
          <w:szCs w:val="21"/>
        </w:rPr>
        <w:t>og）</w:t>
      </w:r>
    </w:p>
    <w:p>
      <w:pPr>
        <w:pStyle w:val="27"/>
        <w:numPr>
          <w:ilvl w:val="0"/>
          <w:numId w:val="4"/>
        </w:numPr>
        <w:ind w:firstLineChars="0"/>
        <w:rPr>
          <w:rFonts w:ascii="宋体" w:hAnsi="宋体" w:eastAsia="宋体" w:cs="Arial"/>
          <w:szCs w:val="21"/>
        </w:rPr>
      </w:pPr>
      <w:r>
        <w:rPr>
          <w:rFonts w:hint="eastAsia" w:ascii="宋体" w:hAnsi="宋体" w:eastAsia="宋体" w:cs="Arial"/>
          <w:szCs w:val="21"/>
        </w:rPr>
        <w:t>具备List功能，且最多支持512步编辑</w:t>
      </w:r>
    </w:p>
    <w:p>
      <w:pPr>
        <w:pStyle w:val="27"/>
        <w:numPr>
          <w:ilvl w:val="0"/>
          <w:numId w:val="4"/>
        </w:numPr>
        <w:ind w:firstLineChars="0"/>
        <w:rPr>
          <w:rFonts w:ascii="宋体" w:hAnsi="宋体" w:eastAsia="宋体" w:cs="Arial"/>
          <w:szCs w:val="21"/>
        </w:rPr>
      </w:pPr>
      <w:r>
        <w:rPr>
          <w:rFonts w:hint="eastAsia" w:ascii="宋体" w:hAnsi="宋体" w:eastAsia="宋体" w:cs="Arial"/>
          <w:szCs w:val="21"/>
        </w:rPr>
        <w:t>具备电池测试功能（b</w:t>
      </w:r>
      <w:r>
        <w:rPr>
          <w:rFonts w:ascii="宋体" w:hAnsi="宋体" w:eastAsia="宋体" w:cs="Arial"/>
          <w:szCs w:val="21"/>
        </w:rPr>
        <w:t>attery</w:t>
      </w:r>
      <w:r>
        <w:rPr>
          <w:rFonts w:hint="eastAsia" w:ascii="宋体" w:hAnsi="宋体" w:eastAsia="宋体" w:cs="Arial"/>
          <w:szCs w:val="21"/>
        </w:rPr>
        <w:t>）、过电流保护测试（O</w:t>
      </w:r>
      <w:r>
        <w:rPr>
          <w:rFonts w:ascii="宋体" w:hAnsi="宋体" w:eastAsia="宋体" w:cs="Arial"/>
          <w:szCs w:val="21"/>
        </w:rPr>
        <w:t>CP</w:t>
      </w:r>
      <w:r>
        <w:rPr>
          <w:rFonts w:hint="eastAsia" w:ascii="宋体" w:hAnsi="宋体" w:eastAsia="宋体" w:cs="Arial"/>
          <w:szCs w:val="21"/>
        </w:rPr>
        <w:t>）、过功率保护测试（O</w:t>
      </w:r>
      <w:r>
        <w:rPr>
          <w:rFonts w:ascii="宋体" w:hAnsi="宋体" w:eastAsia="宋体" w:cs="Arial"/>
          <w:szCs w:val="21"/>
        </w:rPr>
        <w:t>PP</w:t>
      </w:r>
      <w:r>
        <w:rPr>
          <w:rFonts w:hint="eastAsia" w:ascii="宋体" w:hAnsi="宋体" w:eastAsia="宋体" w:cs="Arial"/>
          <w:szCs w:val="21"/>
        </w:rPr>
        <w:t>）等测试功能</w:t>
      </w:r>
    </w:p>
    <w:p>
      <w:pPr>
        <w:pStyle w:val="27"/>
        <w:numPr>
          <w:ilvl w:val="0"/>
          <w:numId w:val="4"/>
        </w:numPr>
        <w:ind w:firstLineChars="0"/>
        <w:rPr>
          <w:rFonts w:ascii="宋体" w:hAnsi="宋体" w:eastAsia="宋体" w:cs="Arial"/>
          <w:szCs w:val="21"/>
        </w:rPr>
      </w:pPr>
      <w:r>
        <w:rPr>
          <w:rFonts w:hint="eastAsia" w:ascii="宋体" w:hAnsi="宋体" w:eastAsia="宋体" w:cs="Arial"/>
          <w:szCs w:val="21"/>
        </w:rPr>
        <w:t>具有断电保持记忆功能</w:t>
      </w:r>
    </w:p>
    <w:p>
      <w:pPr>
        <w:pStyle w:val="27"/>
        <w:numPr>
          <w:ilvl w:val="0"/>
          <w:numId w:val="4"/>
        </w:numPr>
        <w:ind w:firstLineChars="0"/>
        <w:rPr>
          <w:rFonts w:ascii="宋体" w:hAnsi="宋体" w:eastAsia="宋体" w:cs="Arial"/>
          <w:szCs w:val="21"/>
        </w:rPr>
      </w:pPr>
      <w:r>
        <w:rPr>
          <w:rFonts w:hint="eastAsia" w:ascii="宋体" w:hAnsi="宋体" w:eastAsia="宋体" w:cs="Arial"/>
          <w:szCs w:val="21"/>
        </w:rPr>
        <w:t>具备过流保护（O</w:t>
      </w:r>
      <w:r>
        <w:rPr>
          <w:rFonts w:ascii="宋体" w:hAnsi="宋体" w:eastAsia="宋体" w:cs="Arial"/>
          <w:szCs w:val="21"/>
        </w:rPr>
        <w:t>CP</w:t>
      </w:r>
      <w:r>
        <w:rPr>
          <w:rFonts w:hint="eastAsia" w:ascii="宋体" w:hAnsi="宋体" w:eastAsia="宋体" w:cs="Arial"/>
          <w:szCs w:val="21"/>
        </w:rPr>
        <w:t>）、过压保护（O</w:t>
      </w:r>
      <w:r>
        <w:rPr>
          <w:rFonts w:ascii="宋体" w:hAnsi="宋体" w:eastAsia="宋体" w:cs="Arial"/>
          <w:szCs w:val="21"/>
        </w:rPr>
        <w:t>VP</w:t>
      </w:r>
      <w:r>
        <w:rPr>
          <w:rFonts w:hint="eastAsia" w:ascii="宋体" w:hAnsi="宋体" w:eastAsia="宋体" w:cs="Arial"/>
          <w:szCs w:val="21"/>
        </w:rPr>
        <w:t>）、过功率保护（O</w:t>
      </w:r>
      <w:r>
        <w:rPr>
          <w:rFonts w:ascii="宋体" w:hAnsi="宋体" w:eastAsia="宋体" w:cs="Arial"/>
          <w:szCs w:val="21"/>
        </w:rPr>
        <w:t>PP</w:t>
      </w:r>
      <w:r>
        <w:rPr>
          <w:rFonts w:hint="eastAsia" w:ascii="宋体" w:hAnsi="宋体" w:eastAsia="宋体" w:cs="Arial"/>
          <w:szCs w:val="21"/>
        </w:rPr>
        <w:t>）、过温度保护（O</w:t>
      </w:r>
      <w:r>
        <w:rPr>
          <w:rFonts w:ascii="宋体" w:hAnsi="宋体" w:eastAsia="宋体" w:cs="Arial"/>
          <w:szCs w:val="21"/>
        </w:rPr>
        <w:t>TP</w:t>
      </w:r>
      <w:r>
        <w:rPr>
          <w:rFonts w:hint="eastAsia" w:ascii="宋体" w:hAnsi="宋体" w:eastAsia="宋体" w:cs="Arial"/>
          <w:szCs w:val="21"/>
        </w:rPr>
        <w:t>）、输入极性反接保护（L</w:t>
      </w:r>
      <w:r>
        <w:rPr>
          <w:rFonts w:ascii="宋体" w:hAnsi="宋体" w:eastAsia="宋体" w:cs="Arial"/>
          <w:szCs w:val="21"/>
        </w:rPr>
        <w:t>PV/PPV</w:t>
      </w:r>
      <w:r>
        <w:rPr>
          <w:rFonts w:hint="eastAsia" w:ascii="宋体" w:hAnsi="宋体" w:eastAsia="宋体" w:cs="Arial"/>
          <w:szCs w:val="21"/>
        </w:rPr>
        <w:t>）</w:t>
      </w:r>
    </w:p>
    <w:p>
      <w:pPr>
        <w:pStyle w:val="27"/>
        <w:numPr>
          <w:ilvl w:val="0"/>
          <w:numId w:val="4"/>
        </w:numPr>
        <w:ind w:firstLineChars="0"/>
        <w:rPr>
          <w:rFonts w:ascii="宋体" w:hAnsi="宋体" w:eastAsia="宋体" w:cs="Arial"/>
          <w:szCs w:val="21"/>
        </w:rPr>
      </w:pPr>
      <w:r>
        <w:rPr>
          <w:rFonts w:hint="eastAsia" w:ascii="宋体" w:hAnsi="宋体" w:eastAsia="宋体" w:cs="Arial"/>
          <w:szCs w:val="21"/>
        </w:rPr>
        <w:t>内置USB、RS232、LAN（选件）标准通信接口，</w:t>
      </w:r>
      <w:r>
        <w:rPr>
          <w:rFonts w:ascii="宋体" w:hAnsi="宋体" w:eastAsia="宋体" w:cs="Arial"/>
          <w:szCs w:val="21"/>
        </w:rPr>
        <w:t>Digital I/O</w:t>
      </w:r>
      <w:r>
        <w:rPr>
          <w:rFonts w:hint="eastAsia" w:ascii="宋体" w:hAnsi="宋体" w:eastAsia="宋体" w:cs="Arial"/>
          <w:szCs w:val="21"/>
        </w:rPr>
        <w:t>（选件）等接口；USB-GPIB转接模块（选件）</w:t>
      </w:r>
    </w:p>
    <w:p>
      <w:pPr>
        <w:pStyle w:val="27"/>
        <w:numPr>
          <w:ilvl w:val="0"/>
          <w:numId w:val="4"/>
        </w:numPr>
        <w:ind w:firstLineChars="0"/>
        <w:rPr>
          <w:rFonts w:ascii="宋体" w:hAnsi="宋体" w:eastAsia="宋体" w:cs="Arial"/>
          <w:szCs w:val="21"/>
        </w:rPr>
      </w:pPr>
      <w:r>
        <w:rPr>
          <w:rFonts w:hint="eastAsia" w:ascii="宋体" w:hAnsi="宋体" w:eastAsia="宋体" w:cs="Arial"/>
          <w:szCs w:val="21"/>
        </w:rPr>
        <w:t>4.3英寸TFT液晶显示屏，可同时显示多个参数和波形</w:t>
      </w:r>
    </w:p>
    <w:p>
      <w:pPr>
        <w:pStyle w:val="27"/>
        <w:numPr>
          <w:ilvl w:val="0"/>
          <w:numId w:val="4"/>
        </w:numPr>
        <w:ind w:firstLineChars="0"/>
        <w:rPr>
          <w:rFonts w:ascii="宋体" w:hAnsi="宋体" w:eastAsia="宋体" w:cs="Arial"/>
          <w:szCs w:val="21"/>
        </w:rPr>
      </w:pPr>
      <w:r>
        <w:rPr>
          <w:rFonts w:hint="eastAsia" w:ascii="宋体" w:hAnsi="宋体" w:eastAsia="宋体" w:cs="Arial"/>
          <w:szCs w:val="21"/>
        </w:rPr>
        <w:t>标配上位机软件Ultra</w:t>
      </w:r>
      <w:r>
        <w:rPr>
          <w:rFonts w:ascii="宋体" w:hAnsi="宋体" w:eastAsia="宋体" w:cs="Arial"/>
          <w:szCs w:val="21"/>
        </w:rPr>
        <w:t xml:space="preserve"> load</w:t>
      </w:r>
    </w:p>
    <w:p>
      <w:pPr>
        <w:rPr>
          <w:rFonts w:ascii="宋体" w:hAnsi="宋体" w:eastAsia="宋体" w:cs="Arial"/>
          <w:color w:val="000000" w:themeColor="text1"/>
          <w:szCs w:val="21"/>
          <w14:textFill>
            <w14:solidFill>
              <w14:schemeClr w14:val="tx1"/>
            </w14:solidFill>
          </w14:textFill>
        </w:rPr>
      </w:pPr>
    </w:p>
    <w:p>
      <w:pPr>
        <w:widowControl/>
        <w:jc w:val="left"/>
        <w:rPr>
          <w:rFonts w:ascii="宋体" w:hAnsi="宋体" w:eastAsia="宋体" w:cs="Arial"/>
          <w:color w:val="000000" w:themeColor="text1"/>
          <w:szCs w:val="21"/>
          <w14:textFill>
            <w14:solidFill>
              <w14:schemeClr w14:val="tx1"/>
            </w14:solidFill>
          </w14:textFill>
        </w:rPr>
      </w:pPr>
      <w:r>
        <w:rPr>
          <w:rFonts w:ascii="宋体" w:hAnsi="宋体" w:eastAsia="宋体" w:cs="Arial"/>
          <w:color w:val="000000" w:themeColor="text1"/>
          <w:szCs w:val="21"/>
          <w14:textFill>
            <w14:solidFill>
              <w14:schemeClr w14:val="tx1"/>
            </w14:solidFill>
          </w14:textFill>
        </w:rPr>
        <w:br w:type="page"/>
      </w:r>
    </w:p>
    <w:p>
      <w:pPr>
        <w:jc w:val="center"/>
        <w:outlineLvl w:val="0"/>
        <w:rPr>
          <w:rFonts w:hint="eastAsia" w:ascii="宋体" w:hAnsi="宋体" w:eastAsia="宋体" w:cs="宋体"/>
          <w:b/>
          <w:bCs/>
          <w:sz w:val="28"/>
          <w:szCs w:val="28"/>
        </w:rPr>
      </w:pPr>
      <w:r>
        <w:rPr>
          <w:rFonts w:hint="eastAsia" w:ascii="宋体" w:hAnsi="宋体" w:eastAsia="宋体" w:cs="宋体"/>
          <w:b/>
          <w:bCs/>
          <w:sz w:val="28"/>
          <w:szCs w:val="28"/>
        </w:rPr>
        <w:t>6.5位双显数字万用表</w:t>
      </w:r>
    </w:p>
    <w:p>
      <w:pPr>
        <w:numPr>
          <w:ilvl w:val="0"/>
          <w:numId w:val="5"/>
        </w:numPr>
        <w:rPr>
          <w:rFonts w:ascii="宋体" w:hAnsi="宋体" w:eastAsia="宋体" w:cs="Arial"/>
          <w:szCs w:val="21"/>
        </w:rPr>
      </w:pPr>
      <w:r>
        <w:rPr>
          <w:rFonts w:ascii="宋体" w:hAnsi="宋体" w:eastAsia="宋体" w:cs="Arial"/>
          <w:szCs w:val="21"/>
        </w:rPr>
        <w:t>具有双显模式，可同时显示同一输入信号的两种特性</w:t>
      </w:r>
    </w:p>
    <w:p>
      <w:pPr>
        <w:numPr>
          <w:ilvl w:val="0"/>
          <w:numId w:val="5"/>
        </w:numPr>
        <w:rPr>
          <w:rFonts w:ascii="宋体" w:hAnsi="宋体" w:eastAsia="宋体" w:cs="Arial"/>
          <w:szCs w:val="21"/>
        </w:rPr>
      </w:pPr>
      <w:r>
        <w:rPr>
          <w:rFonts w:ascii="宋体" w:hAnsi="宋体" w:eastAsia="宋体" w:cs="Arial"/>
          <w:szCs w:val="21"/>
        </w:rPr>
        <w:t>读数分辨率：6位半,最高位可以是0,1.最大读数为：+/-2200000</w:t>
      </w:r>
    </w:p>
    <w:p>
      <w:pPr>
        <w:numPr>
          <w:ilvl w:val="0"/>
          <w:numId w:val="5"/>
        </w:numPr>
        <w:rPr>
          <w:rFonts w:ascii="宋体" w:hAnsi="宋体" w:eastAsia="宋体" w:cs="Arial"/>
          <w:szCs w:val="21"/>
        </w:rPr>
      </w:pPr>
      <w:r>
        <w:rPr>
          <w:rFonts w:ascii="宋体" w:hAnsi="宋体" w:eastAsia="宋体" w:cs="Arial"/>
          <w:szCs w:val="21"/>
        </w:rPr>
        <w:t>直流电压精确度典型值0.0035 %</w:t>
      </w:r>
    </w:p>
    <w:p>
      <w:pPr>
        <w:numPr>
          <w:ilvl w:val="0"/>
          <w:numId w:val="5"/>
        </w:numPr>
        <w:rPr>
          <w:rFonts w:ascii="宋体" w:hAnsi="宋体" w:eastAsia="宋体" w:cs="Arial"/>
          <w:szCs w:val="21"/>
        </w:rPr>
      </w:pPr>
      <w:r>
        <w:rPr>
          <w:rFonts w:ascii="宋体" w:hAnsi="宋体" w:eastAsia="宋体" w:cs="Arial"/>
          <w:szCs w:val="21"/>
        </w:rPr>
        <w:t>测量功能：直流电压,交流电压,直流电流,交流电流,二线电阻,四线电阻,二极管,通断测试,频率和周期,电容,任意传感器</w:t>
      </w:r>
    </w:p>
    <w:p>
      <w:pPr>
        <w:numPr>
          <w:ilvl w:val="0"/>
          <w:numId w:val="5"/>
        </w:numPr>
        <w:rPr>
          <w:rFonts w:ascii="宋体" w:hAnsi="宋体" w:eastAsia="宋体" w:cs="Arial"/>
          <w:szCs w:val="21"/>
        </w:rPr>
      </w:pPr>
      <w:r>
        <w:rPr>
          <w:rFonts w:ascii="宋体" w:hAnsi="宋体" w:eastAsia="宋体" w:cs="Arial"/>
          <w:szCs w:val="21"/>
        </w:rPr>
        <w:t>任意传感器支持用户自定义传感器和三种温度传感器： 热电偶，热电阻，热敏电阻</w:t>
      </w:r>
    </w:p>
    <w:p>
      <w:pPr>
        <w:numPr>
          <w:ilvl w:val="0"/>
          <w:numId w:val="5"/>
        </w:numPr>
        <w:rPr>
          <w:rFonts w:ascii="宋体" w:hAnsi="宋体" w:eastAsia="宋体" w:cs="Arial"/>
          <w:szCs w:val="21"/>
        </w:rPr>
      </w:pPr>
      <w:r>
        <w:rPr>
          <w:rFonts w:ascii="宋体" w:hAnsi="宋体" w:eastAsia="宋体" w:cs="Arial"/>
          <w:szCs w:val="21"/>
        </w:rPr>
        <w:t>具有大电流和小电流两种测量模式</w:t>
      </w:r>
    </w:p>
    <w:p>
      <w:pPr>
        <w:numPr>
          <w:ilvl w:val="0"/>
          <w:numId w:val="5"/>
        </w:numPr>
        <w:rPr>
          <w:rFonts w:ascii="宋体" w:hAnsi="宋体" w:eastAsia="宋体" w:cs="Arial"/>
          <w:szCs w:val="21"/>
        </w:rPr>
      </w:pPr>
      <w:r>
        <w:rPr>
          <w:rFonts w:ascii="宋体" w:hAnsi="宋体" w:eastAsia="宋体" w:cs="Arial"/>
          <w:szCs w:val="21"/>
        </w:rPr>
        <w:t>测量速率：</w:t>
      </w:r>
    </w:p>
    <w:p>
      <w:pPr>
        <w:ind w:left="360" w:firstLine="630" w:firstLineChars="300"/>
        <w:rPr>
          <w:rFonts w:ascii="宋体" w:hAnsi="宋体" w:eastAsia="宋体" w:cs="Arial"/>
          <w:szCs w:val="21"/>
        </w:rPr>
      </w:pPr>
      <w:r>
        <w:rPr>
          <w:rFonts w:ascii="宋体" w:hAnsi="宋体" w:eastAsia="宋体" w:cs="Arial"/>
          <w:szCs w:val="21"/>
        </w:rPr>
        <w:t>DCV最快速率： 4位半：10000 读数/秒</w:t>
      </w:r>
    </w:p>
    <w:p>
      <w:pPr>
        <w:rPr>
          <w:rFonts w:ascii="宋体" w:hAnsi="宋体" w:eastAsia="宋体" w:cs="Arial"/>
          <w:szCs w:val="21"/>
        </w:rPr>
      </w:pPr>
      <w:r>
        <w:rPr>
          <w:rFonts w:ascii="宋体" w:hAnsi="宋体" w:eastAsia="宋体" w:cs="Arial"/>
          <w:szCs w:val="21"/>
        </w:rPr>
        <w:t xml:space="preserve">         DCV最快速率： 5位半：1000 读数/秒</w:t>
      </w:r>
    </w:p>
    <w:p>
      <w:pPr>
        <w:rPr>
          <w:rFonts w:ascii="宋体" w:hAnsi="宋体" w:eastAsia="宋体" w:cs="Arial"/>
          <w:szCs w:val="21"/>
        </w:rPr>
      </w:pPr>
      <w:r>
        <w:rPr>
          <w:rFonts w:ascii="宋体" w:hAnsi="宋体" w:eastAsia="宋体" w:cs="Arial"/>
          <w:szCs w:val="21"/>
        </w:rPr>
        <w:t xml:space="preserve">         DCV最快速率： 6位半：60 读数/秒</w:t>
      </w:r>
    </w:p>
    <w:p>
      <w:pPr>
        <w:rPr>
          <w:rFonts w:ascii="宋体" w:hAnsi="宋体" w:eastAsia="宋体" w:cs="Arial"/>
          <w:szCs w:val="21"/>
        </w:rPr>
      </w:pPr>
      <w:r>
        <w:rPr>
          <w:rFonts w:ascii="宋体" w:hAnsi="宋体" w:eastAsia="宋体" w:cs="Arial"/>
          <w:szCs w:val="21"/>
        </w:rPr>
        <w:t xml:space="preserve">         可设积分时间： 0.006 PLC 至 100 PLC</w:t>
      </w:r>
    </w:p>
    <w:p>
      <w:pPr>
        <w:numPr>
          <w:ilvl w:val="0"/>
          <w:numId w:val="5"/>
        </w:numPr>
        <w:rPr>
          <w:rFonts w:ascii="宋体" w:hAnsi="宋体" w:eastAsia="宋体" w:cs="Arial"/>
          <w:szCs w:val="21"/>
        </w:rPr>
      </w:pPr>
      <w:r>
        <w:rPr>
          <w:rFonts w:ascii="宋体" w:hAnsi="宋体" w:eastAsia="宋体" w:cs="Arial"/>
          <w:szCs w:val="21"/>
        </w:rPr>
        <w:t>测量范围：</w:t>
      </w:r>
    </w:p>
    <w:p>
      <w:pPr>
        <w:rPr>
          <w:rFonts w:ascii="宋体" w:hAnsi="宋体" w:eastAsia="宋体" w:cs="Arial"/>
          <w:szCs w:val="21"/>
        </w:rPr>
      </w:pPr>
      <w:r>
        <w:rPr>
          <w:rFonts w:ascii="宋体" w:hAnsi="宋体" w:eastAsia="宋体" w:cs="Arial"/>
          <w:szCs w:val="21"/>
        </w:rPr>
        <w:t xml:space="preserve">        DCV： - 1050 V - + 1050 V</w:t>
      </w:r>
    </w:p>
    <w:p>
      <w:pPr>
        <w:rPr>
          <w:rFonts w:ascii="宋体" w:hAnsi="宋体" w:eastAsia="宋体" w:cs="Arial"/>
          <w:szCs w:val="21"/>
        </w:rPr>
      </w:pPr>
      <w:r>
        <w:rPr>
          <w:rFonts w:ascii="宋体" w:hAnsi="宋体" w:eastAsia="宋体" w:cs="Arial"/>
          <w:szCs w:val="21"/>
        </w:rPr>
        <w:t xml:space="preserve">        DCI： -10.5A – 10.5A</w:t>
      </w:r>
    </w:p>
    <w:p>
      <w:pPr>
        <w:rPr>
          <w:rFonts w:ascii="宋体" w:hAnsi="宋体" w:eastAsia="宋体" w:cs="Arial"/>
          <w:szCs w:val="21"/>
        </w:rPr>
      </w:pPr>
      <w:r>
        <w:rPr>
          <w:rFonts w:ascii="宋体" w:hAnsi="宋体" w:eastAsia="宋体" w:cs="Arial"/>
          <w:szCs w:val="21"/>
        </w:rPr>
        <w:t xml:space="preserve">        ACV： 0 – 787.5 V</w:t>
      </w:r>
    </w:p>
    <w:p>
      <w:pPr>
        <w:rPr>
          <w:rFonts w:ascii="宋体" w:hAnsi="宋体" w:eastAsia="宋体" w:cs="Arial"/>
          <w:szCs w:val="21"/>
        </w:rPr>
      </w:pPr>
      <w:r>
        <w:rPr>
          <w:rFonts w:ascii="宋体" w:hAnsi="宋体" w:eastAsia="宋体" w:cs="Arial"/>
          <w:szCs w:val="21"/>
        </w:rPr>
        <w:t xml:space="preserve">        ACI： 0 - 10 .5A</w:t>
      </w:r>
    </w:p>
    <w:p>
      <w:pPr>
        <w:rPr>
          <w:rFonts w:ascii="宋体" w:hAnsi="宋体" w:eastAsia="宋体" w:cs="Arial"/>
          <w:szCs w:val="21"/>
        </w:rPr>
      </w:pPr>
      <w:r>
        <w:rPr>
          <w:rFonts w:ascii="宋体" w:hAnsi="宋体" w:eastAsia="宋体" w:cs="Arial"/>
          <w:szCs w:val="21"/>
        </w:rPr>
        <w:t xml:space="preserve">        OHM： 0 - 110 MOhm</w:t>
      </w:r>
    </w:p>
    <w:p>
      <w:pPr>
        <w:rPr>
          <w:rFonts w:ascii="宋体" w:hAnsi="宋体" w:eastAsia="宋体" w:cs="Arial"/>
          <w:szCs w:val="21"/>
        </w:rPr>
      </w:pPr>
      <w:r>
        <w:rPr>
          <w:rFonts w:ascii="宋体" w:hAnsi="宋体" w:eastAsia="宋体" w:cs="Arial"/>
          <w:szCs w:val="21"/>
        </w:rPr>
        <w:t xml:space="preserve">        FREQ： 3 Hz - 1 MHz</w:t>
      </w:r>
    </w:p>
    <w:p>
      <w:pPr>
        <w:rPr>
          <w:rFonts w:ascii="宋体" w:hAnsi="宋体" w:eastAsia="宋体" w:cs="Arial"/>
          <w:szCs w:val="21"/>
        </w:rPr>
      </w:pPr>
      <w:r>
        <w:rPr>
          <w:rFonts w:ascii="宋体" w:hAnsi="宋体" w:eastAsia="宋体" w:cs="Arial"/>
          <w:szCs w:val="21"/>
        </w:rPr>
        <w:t xml:space="preserve">        CAP： 0 - 110 mF</w:t>
      </w:r>
    </w:p>
    <w:p>
      <w:pPr>
        <w:numPr>
          <w:ilvl w:val="0"/>
          <w:numId w:val="5"/>
        </w:numPr>
        <w:rPr>
          <w:rFonts w:ascii="宋体" w:hAnsi="宋体" w:eastAsia="宋体" w:cs="Arial"/>
          <w:szCs w:val="21"/>
        </w:rPr>
      </w:pPr>
      <w:r>
        <w:rPr>
          <w:rFonts w:ascii="宋体" w:hAnsi="宋体" w:eastAsia="宋体" w:cs="Arial"/>
          <w:szCs w:val="21"/>
        </w:rPr>
        <w:t>数学运算功能：最大值,最小值,平均值,通过/失败(VMC输出),dBm,dB,相对测量,直方图,标准偏差</w:t>
      </w:r>
    </w:p>
    <w:p>
      <w:pPr>
        <w:numPr>
          <w:ilvl w:val="0"/>
          <w:numId w:val="5"/>
        </w:numPr>
        <w:rPr>
          <w:rFonts w:ascii="宋体" w:hAnsi="宋体" w:eastAsia="宋体" w:cs="Arial"/>
          <w:szCs w:val="21"/>
        </w:rPr>
      </w:pPr>
      <w:r>
        <w:rPr>
          <w:rFonts w:ascii="宋体" w:hAnsi="宋体" w:eastAsia="宋体" w:cs="Arial"/>
          <w:szCs w:val="21"/>
        </w:rPr>
        <w:t>支持电平触发</w:t>
      </w:r>
    </w:p>
    <w:p>
      <w:pPr>
        <w:numPr>
          <w:ilvl w:val="0"/>
          <w:numId w:val="5"/>
        </w:numPr>
        <w:rPr>
          <w:rFonts w:ascii="宋体" w:hAnsi="宋体" w:eastAsia="宋体" w:cs="Arial"/>
          <w:szCs w:val="21"/>
        </w:rPr>
      </w:pPr>
      <w:r>
        <w:rPr>
          <w:rFonts w:ascii="宋体" w:hAnsi="宋体" w:eastAsia="宋体" w:cs="Arial"/>
          <w:szCs w:val="21"/>
        </w:rPr>
        <w:t>带有趋势绘图(含实时绘图)，实时直方图功能;</w:t>
      </w:r>
    </w:p>
    <w:p>
      <w:pPr>
        <w:numPr>
          <w:ilvl w:val="0"/>
          <w:numId w:val="5"/>
        </w:numPr>
        <w:rPr>
          <w:rFonts w:ascii="宋体" w:hAnsi="宋体" w:eastAsia="宋体" w:cs="Arial"/>
          <w:szCs w:val="21"/>
        </w:rPr>
      </w:pPr>
      <w:r>
        <w:rPr>
          <w:rFonts w:ascii="宋体" w:hAnsi="宋体" w:eastAsia="宋体" w:cs="Arial"/>
          <w:szCs w:val="21"/>
        </w:rPr>
        <w:t>具有自动调零或偏移补偿功能</w:t>
      </w:r>
    </w:p>
    <w:p>
      <w:pPr>
        <w:numPr>
          <w:ilvl w:val="0"/>
          <w:numId w:val="5"/>
        </w:numPr>
        <w:rPr>
          <w:rFonts w:ascii="宋体" w:hAnsi="宋体" w:eastAsia="宋体" w:cs="Arial"/>
          <w:szCs w:val="21"/>
        </w:rPr>
      </w:pPr>
      <w:r>
        <w:rPr>
          <w:rFonts w:ascii="宋体" w:hAnsi="宋体" w:eastAsia="宋体" w:cs="Arial"/>
          <w:szCs w:val="21"/>
        </w:rPr>
        <w:t>可选择二极管测试的电流源</w:t>
      </w:r>
    </w:p>
    <w:p>
      <w:pPr>
        <w:numPr>
          <w:ilvl w:val="0"/>
          <w:numId w:val="5"/>
        </w:numPr>
        <w:rPr>
          <w:rFonts w:ascii="宋体" w:hAnsi="宋体" w:eastAsia="宋体" w:cs="Arial"/>
          <w:szCs w:val="21"/>
        </w:rPr>
      </w:pPr>
      <w:r>
        <w:rPr>
          <w:rFonts w:ascii="宋体" w:hAnsi="宋体" w:eastAsia="宋体" w:cs="Arial"/>
          <w:szCs w:val="21"/>
        </w:rPr>
        <w:t>可选择频率/周期测量时的闸门时间</w:t>
      </w:r>
    </w:p>
    <w:p>
      <w:pPr>
        <w:numPr>
          <w:ilvl w:val="0"/>
          <w:numId w:val="5"/>
        </w:numPr>
        <w:rPr>
          <w:rFonts w:ascii="宋体" w:hAnsi="宋体" w:eastAsia="宋体" w:cs="Arial"/>
          <w:szCs w:val="21"/>
        </w:rPr>
      </w:pPr>
      <w:r>
        <w:rPr>
          <w:rFonts w:ascii="宋体" w:hAnsi="宋体" w:eastAsia="宋体" w:cs="Arial"/>
          <w:szCs w:val="21"/>
        </w:rPr>
        <w:t>支持接口：USB,GPIB,RS-232和LAN远程控制,支持USB-TMC 488.2标准,LXI-C类规范和SCPI语言</w:t>
      </w:r>
    </w:p>
    <w:p>
      <w:pPr>
        <w:numPr>
          <w:ilvl w:val="0"/>
          <w:numId w:val="5"/>
        </w:numPr>
        <w:rPr>
          <w:rFonts w:ascii="宋体" w:hAnsi="宋体" w:eastAsia="宋体" w:cs="Arial"/>
          <w:szCs w:val="21"/>
        </w:rPr>
      </w:pPr>
      <w:r>
        <w:rPr>
          <w:rFonts w:ascii="宋体" w:hAnsi="宋体" w:eastAsia="宋体" w:cs="Arial"/>
          <w:szCs w:val="21"/>
        </w:rPr>
        <w:t>提供webcontol虚拟控制页面</w:t>
      </w:r>
    </w:p>
    <w:p>
      <w:pPr>
        <w:numPr>
          <w:ilvl w:val="0"/>
          <w:numId w:val="5"/>
        </w:numPr>
        <w:rPr>
          <w:rFonts w:ascii="宋体" w:hAnsi="宋体" w:eastAsia="宋体" w:cs="Arial"/>
          <w:szCs w:val="21"/>
        </w:rPr>
      </w:pPr>
      <w:r>
        <w:rPr>
          <w:rFonts w:ascii="宋体" w:hAnsi="宋体" w:eastAsia="宋体" w:cs="Arial"/>
          <w:szCs w:val="21"/>
        </w:rPr>
        <w:t>支持</w:t>
      </w:r>
      <w:r>
        <w:rPr>
          <w:rFonts w:hint="eastAsia" w:ascii="宋体" w:hAnsi="宋体" w:eastAsia="宋体" w:cs="Arial"/>
          <w:szCs w:val="21"/>
        </w:rPr>
        <w:t>两</w:t>
      </w:r>
      <w:r>
        <w:rPr>
          <w:rFonts w:ascii="宋体" w:hAnsi="宋体" w:eastAsia="宋体" w:cs="Arial"/>
          <w:szCs w:val="21"/>
        </w:rPr>
        <w:t>家或以上的国际知名品牌万用表命令集仿真模式，便于测试系统搭建</w:t>
      </w:r>
    </w:p>
    <w:p>
      <w:pPr>
        <w:numPr>
          <w:ilvl w:val="0"/>
          <w:numId w:val="5"/>
        </w:numPr>
        <w:rPr>
          <w:rFonts w:ascii="宋体" w:hAnsi="宋体" w:eastAsia="宋体" w:cs="Arial"/>
          <w:szCs w:val="21"/>
        </w:rPr>
      </w:pPr>
      <w:r>
        <w:rPr>
          <w:rFonts w:ascii="宋体" w:hAnsi="宋体" w:eastAsia="宋体" w:cs="Arial"/>
          <w:szCs w:val="21"/>
        </w:rPr>
        <w:t>可以记录和保存历史测量结果</w:t>
      </w:r>
    </w:p>
    <w:p>
      <w:pPr>
        <w:numPr>
          <w:ilvl w:val="0"/>
          <w:numId w:val="5"/>
        </w:numPr>
        <w:rPr>
          <w:rFonts w:ascii="宋体" w:hAnsi="宋体" w:eastAsia="宋体" w:cs="Arial"/>
          <w:szCs w:val="21"/>
        </w:rPr>
      </w:pPr>
      <w:r>
        <w:rPr>
          <w:rFonts w:ascii="宋体" w:hAnsi="宋体" w:eastAsia="宋体" w:cs="Arial"/>
          <w:szCs w:val="21"/>
        </w:rPr>
        <w:t>两种电源管理模式：禁用或启用前面板电源键</w:t>
      </w:r>
    </w:p>
    <w:p>
      <w:pPr>
        <w:numPr>
          <w:ilvl w:val="0"/>
          <w:numId w:val="5"/>
        </w:numPr>
        <w:rPr>
          <w:rFonts w:ascii="宋体" w:hAnsi="宋体" w:eastAsia="宋体" w:cs="Arial"/>
          <w:szCs w:val="21"/>
        </w:rPr>
      </w:pPr>
      <w:r>
        <w:rPr>
          <w:rFonts w:ascii="宋体" w:hAnsi="宋体" w:eastAsia="宋体" w:cs="Arial"/>
          <w:szCs w:val="21"/>
        </w:rPr>
        <w:t>内置10组系统配置和5组传感器配置,可远程配置系统并保存或调用</w:t>
      </w:r>
    </w:p>
    <w:p>
      <w:pPr>
        <w:numPr>
          <w:ilvl w:val="0"/>
          <w:numId w:val="5"/>
        </w:numPr>
        <w:rPr>
          <w:rFonts w:ascii="宋体" w:hAnsi="宋体" w:eastAsia="宋体" w:cs="Arial"/>
          <w:szCs w:val="21"/>
        </w:rPr>
      </w:pPr>
      <w:r>
        <w:rPr>
          <w:rFonts w:ascii="宋体" w:hAnsi="宋体" w:eastAsia="宋体" w:cs="Arial"/>
          <w:szCs w:val="21"/>
        </w:rPr>
        <w:t>U盘不限量存储CSV格式测量数据</w:t>
      </w:r>
    </w:p>
    <w:p>
      <w:pPr>
        <w:numPr>
          <w:ilvl w:val="0"/>
          <w:numId w:val="5"/>
        </w:numPr>
        <w:rPr>
          <w:rFonts w:ascii="宋体" w:hAnsi="宋体" w:eastAsia="宋体" w:cs="Arial"/>
          <w:szCs w:val="21"/>
        </w:rPr>
      </w:pPr>
      <w:r>
        <w:rPr>
          <w:rFonts w:ascii="宋体" w:hAnsi="宋体" w:eastAsia="宋体" w:cs="Arial"/>
          <w:szCs w:val="21"/>
        </w:rPr>
        <w:t>串口打印功能可将所测数据通过RS-232串口传送出去</w:t>
      </w:r>
    </w:p>
    <w:p>
      <w:pPr>
        <w:numPr>
          <w:ilvl w:val="0"/>
          <w:numId w:val="5"/>
        </w:numPr>
        <w:rPr>
          <w:rFonts w:ascii="宋体" w:hAnsi="宋体" w:eastAsia="宋体" w:cs="Arial"/>
          <w:szCs w:val="21"/>
        </w:rPr>
      </w:pPr>
      <w:r>
        <w:rPr>
          <w:rFonts w:ascii="宋体" w:hAnsi="宋体" w:eastAsia="宋体" w:cs="Arial"/>
          <w:szCs w:val="21"/>
        </w:rPr>
        <w:t>上位机软件：标配PC端控制软件和任意传感器编辑软件</w:t>
      </w:r>
    </w:p>
    <w:p>
      <w:pPr>
        <w:widowControl w:val="0"/>
        <w:numPr>
          <w:ilvl w:val="0"/>
          <w:numId w:val="0"/>
        </w:numPr>
        <w:jc w:val="both"/>
        <w:rPr>
          <w:rFonts w:ascii="宋体" w:hAnsi="宋体" w:eastAsia="宋体" w:cs="Arial"/>
          <w:szCs w:val="21"/>
        </w:rPr>
      </w:pPr>
    </w:p>
    <w:p>
      <w:pPr>
        <w:widowControl w:val="0"/>
        <w:numPr>
          <w:ilvl w:val="0"/>
          <w:numId w:val="0"/>
        </w:numPr>
        <w:jc w:val="both"/>
        <w:rPr>
          <w:rFonts w:ascii="宋体" w:hAnsi="宋体" w:eastAsia="宋体" w:cs="Arial"/>
          <w:szCs w:val="21"/>
        </w:rPr>
      </w:pPr>
    </w:p>
    <w:p>
      <w:pPr>
        <w:widowControl w:val="0"/>
        <w:numPr>
          <w:ilvl w:val="0"/>
          <w:numId w:val="0"/>
        </w:numPr>
        <w:jc w:val="both"/>
        <w:rPr>
          <w:rFonts w:ascii="宋体" w:hAnsi="宋体" w:eastAsia="宋体" w:cs="Arial"/>
          <w:szCs w:val="21"/>
        </w:rPr>
      </w:pPr>
    </w:p>
    <w:p>
      <w:pPr>
        <w:jc w:val="center"/>
        <w:rPr>
          <w:rFonts w:ascii="Arial" w:hAnsi="Arial" w:eastAsia="微软雅黑" w:cs="Arial"/>
          <w:b/>
          <w:color w:val="000000" w:themeColor="text1"/>
          <w:sz w:val="28"/>
          <w:szCs w:val="28"/>
          <w14:textFill>
            <w14:solidFill>
              <w14:schemeClr w14:val="tx1"/>
            </w14:solidFill>
          </w14:textFill>
        </w:rPr>
      </w:pPr>
    </w:p>
    <w:p>
      <w:pPr>
        <w:jc w:val="center"/>
        <w:rPr>
          <w:rFonts w:ascii="Arial" w:hAnsi="Arial" w:eastAsia="微软雅黑" w:cs="Arial"/>
          <w:b/>
          <w:color w:val="000000" w:themeColor="text1"/>
          <w:sz w:val="28"/>
          <w:szCs w:val="28"/>
          <w14:textFill>
            <w14:solidFill>
              <w14:schemeClr w14:val="tx1"/>
            </w14:solidFill>
          </w14:textFill>
        </w:rPr>
      </w:pPr>
    </w:p>
    <w:p>
      <w:pPr>
        <w:jc w:val="center"/>
        <w:rPr>
          <w:rFonts w:ascii="Arial" w:hAnsi="Arial" w:eastAsia="微软雅黑" w:cs="Arial"/>
          <w:b/>
          <w:color w:val="000000" w:themeColor="text1"/>
          <w:sz w:val="28"/>
          <w:szCs w:val="28"/>
          <w14:textFill>
            <w14:solidFill>
              <w14:schemeClr w14:val="tx1"/>
            </w14:solidFill>
          </w14:textFill>
        </w:rPr>
      </w:pPr>
    </w:p>
    <w:p>
      <w:pPr>
        <w:jc w:val="center"/>
        <w:outlineLvl w:val="0"/>
        <w:rPr>
          <w:rFonts w:hint="eastAsia" w:ascii="宋体" w:hAnsi="宋体" w:eastAsia="宋体" w:cs="宋体"/>
          <w:b/>
          <w:bCs/>
          <w:sz w:val="28"/>
          <w:szCs w:val="28"/>
        </w:rPr>
      </w:pPr>
      <w:r>
        <w:rPr>
          <w:rFonts w:hint="eastAsia" w:ascii="宋体" w:hAnsi="宋体" w:eastAsia="宋体" w:cs="宋体"/>
          <w:b/>
          <w:bCs/>
          <w:sz w:val="28"/>
          <w:szCs w:val="28"/>
        </w:rPr>
        <w:t>数字示波器</w:t>
      </w:r>
    </w:p>
    <w:p>
      <w:pPr>
        <w:pStyle w:val="27"/>
        <w:ind w:left="360" w:firstLine="0" w:firstLineChars="0"/>
        <w:rPr>
          <w:rFonts w:ascii="Arial" w:hAnsi="Arial" w:cs="Arial"/>
          <w:color w:val="000000" w:themeColor="text1"/>
          <w:szCs w:val="21"/>
          <w14:textFill>
            <w14:solidFill>
              <w14:schemeClr w14:val="tx1"/>
            </w14:solidFill>
          </w14:textFill>
        </w:rPr>
      </w:pPr>
    </w:p>
    <w:p>
      <w:pPr>
        <w:pStyle w:val="27"/>
        <w:numPr>
          <w:ilvl w:val="0"/>
          <w:numId w:val="6"/>
        </w:numPr>
        <w:ind w:left="360" w:leftChars="0" w:hanging="36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模拟通道带宽：800 MHz （50Ω）；500MHz（1MΩ）</w:t>
      </w:r>
    </w:p>
    <w:p>
      <w:pPr>
        <w:pStyle w:val="27"/>
        <w:numPr>
          <w:ilvl w:val="0"/>
          <w:numId w:val="6"/>
        </w:numPr>
        <w:ind w:left="360" w:leftChars="0" w:hanging="36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4个模拟通道， 1个EXT通道</w:t>
      </w:r>
    </w:p>
    <w:p>
      <w:pPr>
        <w:pStyle w:val="27"/>
        <w:numPr>
          <w:ilvl w:val="0"/>
          <w:numId w:val="6"/>
        </w:numPr>
        <w:ind w:left="360" w:leftChars="0" w:hanging="36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分辨率：硬件≥12 bit，软件高分辨率模式≥16 bit</w:t>
      </w:r>
    </w:p>
    <w:p>
      <w:pPr>
        <w:pStyle w:val="27"/>
        <w:numPr>
          <w:ilvl w:val="0"/>
          <w:numId w:val="6"/>
        </w:numPr>
        <w:ind w:left="360" w:leftChars="0" w:hanging="36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最高实时采样率：4GSa/s</w:t>
      </w:r>
    </w:p>
    <w:p>
      <w:pPr>
        <w:pStyle w:val="27"/>
        <w:numPr>
          <w:ilvl w:val="0"/>
          <w:numId w:val="6"/>
        </w:numPr>
        <w:ind w:left="360" w:leftChars="0" w:hanging="36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最高存储深度：标配：250 Mpts选配：500 Mpts</w:t>
      </w:r>
    </w:p>
    <w:p>
      <w:pPr>
        <w:pStyle w:val="27"/>
        <w:numPr>
          <w:ilvl w:val="0"/>
          <w:numId w:val="6"/>
        </w:numPr>
        <w:ind w:left="360" w:leftChars="0" w:hanging="36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波形捕获率1500,000 wfms/s（凝时获取模式，UltraAcquire Mode）</w:t>
      </w:r>
    </w:p>
    <w:p>
      <w:pPr>
        <w:pStyle w:val="27"/>
        <w:numPr>
          <w:ilvl w:val="0"/>
          <w:numId w:val="6"/>
        </w:numPr>
        <w:ind w:left="360" w:leftChars="0" w:hanging="36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垂直灵敏度范围：100 μV/div~10 V/div(1MΩ)；100 μV/div~1 V/div（50Ω）</w:t>
      </w:r>
    </w:p>
    <w:p>
      <w:pPr>
        <w:pStyle w:val="27"/>
        <w:numPr>
          <w:ilvl w:val="0"/>
          <w:numId w:val="6"/>
        </w:numPr>
        <w:ind w:left="360" w:leftChars="0" w:hanging="36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时基范围：500 ps/div~1 ks/div（支持时基微调）</w:t>
      </w:r>
    </w:p>
    <w:p>
      <w:pPr>
        <w:pStyle w:val="27"/>
        <w:numPr>
          <w:ilvl w:val="0"/>
          <w:numId w:val="6"/>
        </w:numPr>
        <w:ind w:left="360" w:leftChars="0" w:hanging="36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水平模式：YT, XY, SCAN, ROLL</w:t>
      </w:r>
    </w:p>
    <w:p>
      <w:pPr>
        <w:pStyle w:val="27"/>
        <w:numPr>
          <w:ilvl w:val="0"/>
          <w:numId w:val="6"/>
        </w:numPr>
        <w:ind w:left="360" w:leftChars="0" w:hanging="36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提供数字电压表、频率计和48位累加计数器</w:t>
      </w:r>
    </w:p>
    <w:p>
      <w:pPr>
        <w:pStyle w:val="27"/>
        <w:numPr>
          <w:ilvl w:val="0"/>
          <w:numId w:val="6"/>
        </w:numPr>
        <w:ind w:left="360" w:leftChars="0" w:hanging="36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丰富的触发功能：边沿、脉宽、斜率、视频、码型、持续时间、超时、欠幅脉冲、超幅、延迟、建立保持、第 N 边沿触发、I2C、SPI、RS232/UART、CAN、（选配LIN、CAN-FD、FlexRay、I2S、MIL-STD-1553）</w:t>
      </w:r>
    </w:p>
    <w:p>
      <w:pPr>
        <w:pStyle w:val="27"/>
        <w:numPr>
          <w:ilvl w:val="0"/>
          <w:numId w:val="6"/>
        </w:numPr>
        <w:ind w:left="360" w:leftChars="0" w:hanging="36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丰富的串行总线解码功能：RS232、I2C、SPI、CAN、（选配LIN、CAN-FD、FlexRay、I2S、MIL-STD-1553），支持4个解码通道</w:t>
      </w:r>
    </w:p>
    <w:p>
      <w:pPr>
        <w:pStyle w:val="27"/>
        <w:numPr>
          <w:ilvl w:val="0"/>
          <w:numId w:val="6"/>
        </w:numPr>
        <w:ind w:left="360" w:leftChars="0" w:hanging="36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多种数学运算：加、减、乘、除、FFT、与、或、非、异或、Intg、Diff、Lg、Ln、Exp、Sqrt、Abs、AX+B、低通滤波、高通滤波、带通滤波、带阻滤波，内置增强FFT分析和峰值搜索功能</w:t>
      </w:r>
    </w:p>
    <w:p>
      <w:pPr>
        <w:pStyle w:val="27"/>
        <w:numPr>
          <w:ilvl w:val="0"/>
          <w:numId w:val="6"/>
        </w:numPr>
        <w:ind w:left="360" w:leftChars="0" w:hanging="36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提供通过失败测试，支持失败图形保存，超限可报警，可设置输出脉冲信号</w:t>
      </w:r>
    </w:p>
    <w:p>
      <w:pPr>
        <w:pStyle w:val="27"/>
        <w:numPr>
          <w:ilvl w:val="0"/>
          <w:numId w:val="6"/>
        </w:numPr>
        <w:ind w:left="360" w:leftChars="0" w:hanging="36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独立的搜索、导航按键和事件列表</w:t>
      </w:r>
    </w:p>
    <w:p>
      <w:pPr>
        <w:pStyle w:val="27"/>
        <w:numPr>
          <w:ilvl w:val="0"/>
          <w:numId w:val="6"/>
        </w:numPr>
        <w:ind w:left="360" w:leftChars="0" w:hanging="36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用户可定义的Quick一键快捷操作</w:t>
      </w:r>
    </w:p>
    <w:p>
      <w:pPr>
        <w:pStyle w:val="27"/>
        <w:numPr>
          <w:ilvl w:val="0"/>
          <w:numId w:val="6"/>
        </w:numPr>
        <w:ind w:left="360" w:leftChars="0" w:hanging="36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10.1 英寸 1280*800 高清触控显示屏</w:t>
      </w:r>
    </w:p>
    <w:p>
      <w:pPr>
        <w:pStyle w:val="27"/>
        <w:numPr>
          <w:ilvl w:val="0"/>
          <w:numId w:val="6"/>
        </w:numPr>
        <w:autoSpaceDE w:val="0"/>
        <w:autoSpaceDN w:val="0"/>
        <w:adjustRightInd w:val="0"/>
        <w:ind w:left="360" w:leftChars="0" w:hanging="360"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提供模拟通道波形的色温显示，不同颜色表示数据采集的次数或概率</w:t>
      </w:r>
    </w:p>
    <w:p>
      <w:pPr>
        <w:pStyle w:val="27"/>
        <w:numPr>
          <w:ilvl w:val="0"/>
          <w:numId w:val="6"/>
        </w:numPr>
        <w:ind w:left="360" w:leftChars="0" w:hanging="36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丰富的接口： USB Host 、USB Device、LAN(LXI)、HDMI、AUX OUT</w:t>
      </w:r>
    </w:p>
    <w:p>
      <w:pPr>
        <w:pStyle w:val="27"/>
        <w:numPr>
          <w:ilvl w:val="0"/>
          <w:numId w:val="6"/>
        </w:numPr>
        <w:ind w:left="360" w:leftChars="0" w:hanging="36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支持USB和网络打印机</w:t>
      </w:r>
    </w:p>
    <w:p>
      <w:pPr>
        <w:pStyle w:val="27"/>
        <w:numPr>
          <w:ilvl w:val="0"/>
          <w:numId w:val="6"/>
        </w:numPr>
        <w:ind w:left="360" w:leftChars="0" w:hanging="36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支持电子邮件发送</w:t>
      </w:r>
    </w:p>
    <w:p>
      <w:pPr>
        <w:pStyle w:val="27"/>
        <w:numPr>
          <w:ilvl w:val="0"/>
          <w:numId w:val="6"/>
        </w:numPr>
        <w:ind w:left="360" w:leftChars="0" w:hanging="36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支持Web Control远程命令控制</w:t>
      </w:r>
    </w:p>
    <w:p>
      <w:pPr>
        <w:widowControl w:val="0"/>
        <w:numPr>
          <w:ilvl w:val="0"/>
          <w:numId w:val="0"/>
        </w:numPr>
        <w:jc w:val="both"/>
        <w:rPr>
          <w:rFonts w:ascii="宋体" w:hAnsi="宋体" w:eastAsia="宋体" w:cs="Arial"/>
          <w:szCs w:val="21"/>
        </w:rPr>
      </w:pPr>
    </w:p>
    <w:p>
      <w:pPr>
        <w:pStyle w:val="23"/>
        <w:rPr>
          <w:rFonts w:hint="eastAsia" w:ascii="宋体" w:hAnsi="宋体"/>
          <w:b/>
          <w:color w:val="FF0000"/>
          <w:kern w:val="0"/>
          <w:sz w:val="24"/>
          <w:lang w:val="en-US" w:eastAsia="zh-CN"/>
        </w:rPr>
      </w:pPr>
    </w:p>
    <w:p>
      <w:pPr>
        <w:pStyle w:val="23"/>
        <w:rPr>
          <w:rFonts w:hint="eastAsia" w:ascii="宋体" w:hAnsi="宋体" w:eastAsia="楷体_GB2312"/>
          <w:b/>
          <w:color w:val="FF0000"/>
          <w:kern w:val="0"/>
          <w:sz w:val="24"/>
          <w:lang w:val="en-US" w:eastAsia="zh-CN"/>
        </w:rPr>
      </w:pPr>
      <w:r>
        <w:rPr>
          <w:rFonts w:hint="eastAsia" w:ascii="宋体" w:hAnsi="宋体" w:eastAsia="宋体" w:cs="Times New Roman"/>
          <w:b/>
          <w:color w:val="FF0000"/>
          <w:kern w:val="0"/>
          <w:sz w:val="24"/>
          <w:szCs w:val="24"/>
          <w:lang w:val="en-US" w:eastAsia="zh-CN" w:bidi="ar-SA"/>
        </w:rPr>
        <w:t>二、售后服务要求（可根据项目实际调整）</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（一）投标人对提供的货物或服务，因产品及服务质量、或知识产权纠纷等问题，必须提供保修、包换、包退等服务。</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（二）货物安装调试合格后，投标人负责对采购人技术人员进行免费现场培训，培训内容包括系统的功能、原理、使用与维护等，培训日程视实际情况另定。</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三）质保期：投标人所供货物质保期自最终验收合格之日起开始计算，投标人需保证免费质保期至少为（12）个月。投标人在接到用户设备故障电话通知起，由于故障而无法工作超过3天，质保期自动延长相应天数（延长天数从故障电话通知之日开始计算）。</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四）质保期内货物一旦出现故障，投标人响应时间不超过4小时，检修人员在2个工作日内到设备安装地点及时排除故障，技术人员在12小时内完成系统恢复正常使用；如果无法恢复的，投标人应负责联系厂家技术人员到现场排除故障，厂方人员接到报修后，响应时间不超过24小时；技术人员在72小时内不能排除故障时，投标人应提供与该系统规格、技术指标相一致的备品，并在到现场完成系统更换及指导工作，以保证实验教学正常运行。</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五）质保期结束后，投标人需提供终身应用咨询、技术帮助及维护；货物一旦出现故障，投标人需协助采购人对货物进行维修，远程不能解决的，投标人需派出技术人员2个工作日内到现场进行维修，只收取人员差旅费，对设备故障需要更换的配件以成本价提供。</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（六）履行所承诺的其他服务条款。</w:t>
      </w:r>
    </w:p>
    <w:p>
      <w:pPr>
        <w:spacing w:line="440" w:lineRule="exact"/>
        <w:rPr>
          <w:rFonts w:hint="eastAsia" w:ascii="宋体" w:hAnsi="宋体" w:eastAsia="宋体"/>
          <w:b/>
          <w:bCs/>
          <w:color w:val="FF0000"/>
          <w:sz w:val="24"/>
          <w:lang w:val="en-US" w:eastAsia="zh-CN"/>
        </w:rPr>
      </w:pPr>
      <w:bookmarkStart w:id="52" w:name="_Toc358109805"/>
      <w:bookmarkStart w:id="53" w:name="_Toc394319916"/>
      <w:bookmarkStart w:id="54" w:name="_Toc416379639"/>
      <w:bookmarkStart w:id="55" w:name="_Toc425276504"/>
      <w:bookmarkStart w:id="56" w:name="_Toc478753855"/>
      <w:bookmarkStart w:id="57" w:name="_Toc57451666"/>
      <w:r>
        <w:rPr>
          <w:rFonts w:hint="eastAsia" w:ascii="宋体" w:hAnsi="宋体"/>
          <w:b/>
          <w:bCs/>
          <w:color w:val="FF0000"/>
          <w:sz w:val="24"/>
          <w:lang w:val="en-US" w:eastAsia="zh-CN"/>
        </w:rPr>
        <w:t>三</w:t>
      </w:r>
      <w:r>
        <w:rPr>
          <w:rFonts w:hint="eastAsia" w:ascii="宋体" w:hAnsi="宋体"/>
          <w:b/>
          <w:bCs/>
          <w:color w:val="FF0000"/>
          <w:sz w:val="24"/>
        </w:rPr>
        <w:t>、</w:t>
      </w:r>
      <w:r>
        <w:rPr>
          <w:rFonts w:hint="eastAsia" w:ascii="宋体" w:hAnsi="宋体"/>
          <w:b/>
          <w:bCs/>
          <w:color w:val="FF0000"/>
          <w:sz w:val="24"/>
          <w:lang w:eastAsia="zh-CN"/>
        </w:rPr>
        <w:t>项目验收（可根据项目实际调整）</w:t>
      </w:r>
    </w:p>
    <w:bookmarkEnd w:id="52"/>
    <w:bookmarkEnd w:id="53"/>
    <w:p>
      <w:pPr>
        <w:spacing w:line="440" w:lineRule="exact"/>
        <w:ind w:firstLine="480" w:firstLineChars="200"/>
        <w:rPr>
          <w:rFonts w:hint="eastAsia" w:hAnsi="宋体" w:eastAsia="宋体"/>
          <w:color w:val="auto"/>
          <w:sz w:val="24"/>
          <w:lang w:val="en-US" w:eastAsia="zh-CN"/>
        </w:rPr>
      </w:pPr>
      <w:bookmarkStart w:id="58" w:name="_Toc430269118"/>
      <w:bookmarkStart w:id="59" w:name="_Toc430269287"/>
      <w:bookmarkStart w:id="60" w:name="_Toc285393068"/>
      <w:bookmarkStart w:id="61" w:name="_Toc491700052"/>
      <w:bookmarkStart w:id="62" w:name="_Toc394319918"/>
      <w:bookmarkStart w:id="63" w:name="_Toc358109807"/>
      <w:bookmarkStart w:id="64" w:name="_Toc358109806"/>
      <w:bookmarkStart w:id="65" w:name="_Toc394319917"/>
      <w:r>
        <w:rPr>
          <w:rFonts w:hint="eastAsia" w:hAnsi="宋体" w:eastAsia="宋体"/>
          <w:color w:val="auto"/>
          <w:sz w:val="24"/>
          <w:lang w:val="en-US" w:eastAsia="zh-CN"/>
        </w:rPr>
        <w:t>（一）验收标准</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按厂家设备验收标准(符合国家或行业或地方标准)、招标文件、投标文件、合同等相关文件执行。验收结果应符合采购人使用要求。</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（二）验收程序</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1、出厂检验：投标人需提供货物、安装材料、工具和文件的发货清单和计划，发货计划应经采购人认可后实施。投标人在设备出厂前，应按设备技术标准规定的检验项目和检验方法进行全面检验，结果必须符合验收标准的要求。投标人应随同货物出具供货证明、产地证书、出厂检验报告和设备质量合格证等，并负责将产品送达采购人指定交货地点。</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2、初步验收：货物到达交货地点后30天内完成。采购人（或采购人授权单位）在设备（含软件）到货后，将按合同规定对所交货物进行清点、核对和商检，对货物基本数量与质量进行初步验收（但不作为最终合格的保证），该验收应达到合同规定的要求。初步验收不合格的，采购人有权选择退或换货处理：选择换货处理的，投标人需在收到换货通知日起30天内交付合格的新品，逾期未处理的，将予以退货，由此产生的费用和采购人的损失，由投标人承担；选择退货处理的，投标人需在收到退货通知之日起10天内将货物自行运回，如逾期投标人未退回货物，采购人有权将货物退回投标人法定地址，由此产生的一切费用由投标人承担。</w:t>
      </w:r>
    </w:p>
    <w:p>
      <w:pPr>
        <w:spacing w:line="440" w:lineRule="exact"/>
        <w:ind w:firstLine="480" w:firstLineChars="200"/>
        <w:rPr>
          <w:rFonts w:hint="eastAsia" w:hAnsi="宋体"/>
          <w:b/>
          <w:bCs/>
          <w:color w:val="FF0000"/>
          <w:sz w:val="24"/>
          <w:lang w:val="en-US" w:eastAsia="zh-CN"/>
        </w:rPr>
      </w:pPr>
      <w:r>
        <w:rPr>
          <w:rFonts w:hint="eastAsia" w:hAnsi="宋体" w:eastAsia="宋体"/>
          <w:color w:val="auto"/>
          <w:sz w:val="24"/>
          <w:lang w:val="en-US" w:eastAsia="zh-CN"/>
        </w:rPr>
        <w:t>3、最终验收：设备在安装地安装、调试与试运行无问题之后30天内完成最终验收（因投标人原因导致无法验收的情况除外）。项目具备验收条件后，投标人应向采购人提出验收请求并提供完整的项目交接资料及交接报告。采购人收到验收请求后组织验收，验收合格后，签发验收单；验收不合格，采购人有权选择通知整改或退换货处理：①选择通知整改处理的，投标人需在收到整改通知日起30天内完成整改，逾期未处理，将按退货处理，由此产生的费用和采购人的损失，由投标人承担；②选择换货处理的，投标人需在收到换货通知日起30天内交付合格的新品，逾期未处理，将按退货处理，由此产生的费用和采购人的损失，由投标人承担；③选择退货处理的，投标人需在收到退货通知之日起10天内将货物自行运回，如逾期投标人未退回货物，采购人有权将货物退回投标人法定地址，由此产生的一切费用由投标人承担。</w:t>
      </w:r>
    </w:p>
    <w:p>
      <w:pPr>
        <w:spacing w:line="440" w:lineRule="exact"/>
        <w:rPr>
          <w:rFonts w:hint="eastAsia" w:hAnsi="宋体"/>
          <w:b/>
          <w:bCs/>
          <w:color w:val="auto"/>
          <w:sz w:val="24"/>
        </w:rPr>
      </w:pPr>
      <w:r>
        <w:rPr>
          <w:rFonts w:hint="eastAsia" w:hAnsi="宋体"/>
          <w:b/>
          <w:bCs/>
          <w:color w:val="auto"/>
          <w:sz w:val="24"/>
          <w:lang w:val="en-US" w:eastAsia="zh-CN"/>
        </w:rPr>
        <w:t>四</w:t>
      </w:r>
      <w:r>
        <w:rPr>
          <w:rFonts w:hAnsi="宋体"/>
          <w:b/>
          <w:bCs/>
          <w:color w:val="auto"/>
          <w:sz w:val="24"/>
        </w:rPr>
        <w:t>、报价</w:t>
      </w:r>
      <w:r>
        <w:rPr>
          <w:rFonts w:hint="eastAsia" w:hAnsi="宋体"/>
          <w:b/>
          <w:bCs/>
          <w:color w:val="auto"/>
          <w:sz w:val="24"/>
        </w:rPr>
        <w:t>要求</w:t>
      </w:r>
    </w:p>
    <w:bookmarkEnd w:id="58"/>
    <w:bookmarkEnd w:id="59"/>
    <w:bookmarkEnd w:id="60"/>
    <w:bookmarkEnd w:id="61"/>
    <w:bookmarkEnd w:id="62"/>
    <w:bookmarkEnd w:id="63"/>
    <w:p>
      <w:pPr>
        <w:spacing w:line="440" w:lineRule="exact"/>
        <w:ind w:firstLine="480" w:firstLineChars="200"/>
        <w:rPr>
          <w:rFonts w:hint="eastAsia" w:hAnsi="宋体"/>
          <w:b/>
          <w:bCs/>
          <w:color w:val="auto"/>
          <w:sz w:val="24"/>
        </w:rPr>
      </w:pPr>
      <w:bookmarkStart w:id="66" w:name="_Toc491700053"/>
      <w:r>
        <w:rPr>
          <w:rFonts w:hAnsi="宋体"/>
          <w:color w:val="auto"/>
          <w:sz w:val="24"/>
        </w:rPr>
        <w:t>1、</w:t>
      </w:r>
      <w:r>
        <w:rPr>
          <w:rFonts w:hint="eastAsia" w:hAnsi="宋体"/>
          <w:color w:val="auto"/>
          <w:sz w:val="24"/>
        </w:rPr>
        <w:t>投标报价指为完成指定服务所需投入的人工、材料、交通运输费、利润、税金、售后服务费、政策性文件规定费用以及所有风险与责任等一切费用。</w:t>
      </w:r>
      <w:r>
        <w:rPr>
          <w:rFonts w:hint="eastAsia" w:hAnsi="宋体"/>
          <w:color w:val="auto"/>
          <w:sz w:val="24"/>
          <w:lang w:val="en-US" w:eastAsia="zh-CN"/>
        </w:rPr>
        <w:t>报价</w:t>
      </w:r>
      <w:r>
        <w:rPr>
          <w:rFonts w:hint="eastAsia" w:hAnsi="宋体"/>
          <w:color w:val="auto"/>
          <w:sz w:val="24"/>
        </w:rPr>
        <w:t>供应商报价应包括项目所涉及的所有费用进行报价，</w:t>
      </w:r>
      <w:r>
        <w:rPr>
          <w:rFonts w:hint="eastAsia" w:hAnsi="宋体"/>
          <w:color w:val="auto"/>
          <w:sz w:val="24"/>
          <w:lang w:val="en-US" w:eastAsia="zh-CN"/>
        </w:rPr>
        <w:t>报价</w:t>
      </w:r>
      <w:r>
        <w:rPr>
          <w:rFonts w:hint="eastAsia" w:hAnsi="宋体"/>
          <w:color w:val="auto"/>
          <w:sz w:val="24"/>
        </w:rPr>
        <w:t>供应商报价应包含完成本项目所涉及的所有费用。</w:t>
      </w:r>
    </w:p>
    <w:p>
      <w:pPr>
        <w:spacing w:line="440" w:lineRule="exact"/>
        <w:ind w:firstLine="480" w:firstLineChars="200"/>
        <w:rPr>
          <w:rFonts w:ascii="宋体" w:hAnsi="宋体"/>
          <w:color w:val="auto"/>
          <w:sz w:val="24"/>
        </w:rPr>
      </w:pPr>
      <w:r>
        <w:rPr>
          <w:rFonts w:hint="eastAsia" w:ascii="宋体" w:hAnsi="宋体"/>
          <w:bCs/>
          <w:color w:val="auto"/>
          <w:kern w:val="0"/>
          <w:sz w:val="24"/>
          <w:lang w:val="en-US" w:eastAsia="zh-CN"/>
        </w:rPr>
        <w:t>2</w:t>
      </w:r>
      <w:r>
        <w:rPr>
          <w:rFonts w:ascii="宋体" w:hAnsi="宋体"/>
          <w:bCs/>
          <w:color w:val="auto"/>
          <w:kern w:val="0"/>
          <w:sz w:val="24"/>
        </w:rPr>
        <w:t>、</w:t>
      </w:r>
      <w:r>
        <w:rPr>
          <w:rFonts w:ascii="宋体" w:hAnsi="宋体"/>
          <w:color w:val="auto"/>
          <w:sz w:val="24"/>
        </w:rPr>
        <w:t>各供应商报价时应综合考虑日后属政策性调整、各种材料市场价格的浮动等因素造成的货物价格变动，上述价格变动不予调整。</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w:t>
      </w:r>
      <w:r>
        <w:rPr>
          <w:rFonts w:ascii="宋体" w:hAnsi="宋体"/>
          <w:color w:val="auto"/>
          <w:sz w:val="24"/>
        </w:rPr>
        <w:t>各供应商</w:t>
      </w:r>
      <w:r>
        <w:rPr>
          <w:rFonts w:hint="eastAsia" w:ascii="宋体" w:hAnsi="宋体" w:cs="宋体"/>
          <w:color w:val="auto"/>
          <w:sz w:val="24"/>
          <w:highlight w:val="none"/>
        </w:rPr>
        <w:t>对每个合同号只允许有一个报价，不接受任何选择性的报价。</w:t>
      </w:r>
    </w:p>
    <w:p>
      <w:pPr>
        <w:keepNext w:val="0"/>
        <w:keepLines w:val="0"/>
        <w:pageBreakBefore w:val="0"/>
        <w:kinsoku/>
        <w:wordWrap/>
        <w:overflowPunct/>
        <w:topLinePunct w:val="0"/>
        <w:autoSpaceDE/>
        <w:autoSpaceDN/>
        <w:bidi w:val="0"/>
        <w:spacing w:line="440" w:lineRule="exact"/>
        <w:ind w:firstLine="480" w:firstLineChars="200"/>
        <w:textAlignment w:val="auto"/>
        <w:rPr>
          <w:color w:val="auto"/>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olor w:val="auto"/>
          <w:sz w:val="24"/>
        </w:rPr>
        <w:t>成交供应商</w:t>
      </w:r>
      <w:r>
        <w:rPr>
          <w:rFonts w:hint="eastAsia" w:ascii="宋体" w:hAnsi="宋体" w:cs="宋体"/>
          <w:color w:val="auto"/>
          <w:sz w:val="24"/>
          <w:highlight w:val="none"/>
        </w:rPr>
        <w:t>在服务期限内，应严格按照《</w:t>
      </w:r>
      <w:r>
        <w:rPr>
          <w:rFonts w:hint="eastAsia" w:ascii="宋体" w:hAnsi="宋体" w:cs="宋体"/>
          <w:color w:val="auto"/>
          <w:sz w:val="24"/>
          <w:highlight w:val="none"/>
          <w:lang w:val="en-US" w:eastAsia="zh-CN"/>
        </w:rPr>
        <w:t>中华人民共和国</w:t>
      </w:r>
      <w:bookmarkStart w:id="102" w:name="_GoBack"/>
      <w:bookmarkEnd w:id="102"/>
      <w:r>
        <w:rPr>
          <w:rFonts w:hint="eastAsia" w:ascii="宋体" w:hAnsi="宋体" w:cs="宋体"/>
          <w:color w:val="auto"/>
          <w:sz w:val="24"/>
          <w:highlight w:val="none"/>
        </w:rPr>
        <w:t>劳动法》的规定用工，签订用工劳务合同，并按规定为工人购买人身意外保险及相关的劳动保险，承包期间发生的一切安全责任事故及造成第三者伤害责任的，均由成交供应商承担。</w:t>
      </w:r>
    </w:p>
    <w:p>
      <w:pPr>
        <w:spacing w:line="440" w:lineRule="exact"/>
        <w:rPr>
          <w:rFonts w:hint="eastAsia" w:ascii="宋体" w:hAnsi="宋体"/>
          <w:b/>
          <w:color w:val="FF0000"/>
          <w:kern w:val="0"/>
          <w:sz w:val="24"/>
          <w:lang w:val="en-US" w:eastAsia="zh-CN"/>
        </w:rPr>
      </w:pPr>
      <w:r>
        <w:rPr>
          <w:rFonts w:hint="eastAsia" w:ascii="宋体" w:hAnsi="宋体"/>
          <w:b/>
          <w:color w:val="FF0000"/>
          <w:kern w:val="0"/>
          <w:sz w:val="24"/>
          <w:lang w:val="en-US" w:eastAsia="zh-CN"/>
        </w:rPr>
        <w:t>五、交货地点及时间</w:t>
      </w:r>
    </w:p>
    <w:p>
      <w:pPr>
        <w:pStyle w:val="23"/>
        <w:rPr>
          <w:rFonts w:hint="default" w:ascii="宋体" w:hAnsi="宋体" w:eastAsia="宋体" w:cs="Times New Roman"/>
          <w:b/>
          <w:color w:val="FF0000"/>
          <w:kern w:val="0"/>
          <w:sz w:val="24"/>
          <w:szCs w:val="24"/>
          <w:lang w:val="en-US" w:eastAsia="zh-CN" w:bidi="ar-SA"/>
        </w:rPr>
      </w:pPr>
      <w:r>
        <w:rPr>
          <w:rFonts w:hint="eastAsia" w:ascii="宋体" w:hAnsi="宋体" w:eastAsia="宋体" w:cs="Times New Roman"/>
          <w:b/>
          <w:color w:val="FF0000"/>
          <w:kern w:val="0"/>
          <w:sz w:val="24"/>
          <w:szCs w:val="24"/>
          <w:lang w:val="en-US" w:eastAsia="zh-CN" w:bidi="ar-SA"/>
        </w:rPr>
        <w:t>地点：泉州师范学院千墅206</w:t>
      </w:r>
    </w:p>
    <w:p>
      <w:pPr>
        <w:spacing w:line="440" w:lineRule="exact"/>
        <w:rPr>
          <w:rFonts w:hint="default" w:ascii="宋体" w:hAnsi="宋体"/>
          <w:b/>
          <w:color w:val="FF0000"/>
          <w:kern w:val="0"/>
          <w:sz w:val="24"/>
          <w:lang w:val="en-US" w:eastAsia="zh-CN"/>
        </w:rPr>
      </w:pPr>
      <w:r>
        <w:rPr>
          <w:rFonts w:hint="eastAsia" w:ascii="宋体" w:hAnsi="宋体"/>
          <w:b/>
          <w:color w:val="FF0000"/>
          <w:kern w:val="0"/>
          <w:sz w:val="24"/>
          <w:lang w:val="en-US" w:eastAsia="zh-CN"/>
        </w:rPr>
        <w:t>时间：合同签订后15个工作日内。</w:t>
      </w:r>
    </w:p>
    <w:p>
      <w:pPr>
        <w:spacing w:line="440" w:lineRule="exact"/>
        <w:rPr>
          <w:rFonts w:hint="eastAsia" w:ascii="宋体" w:hAnsi="宋体"/>
          <w:b/>
          <w:color w:val="FF0000"/>
          <w:kern w:val="0"/>
          <w:sz w:val="24"/>
        </w:rPr>
      </w:pPr>
      <w:r>
        <w:rPr>
          <w:rFonts w:hint="eastAsia" w:ascii="宋体" w:hAnsi="宋体"/>
          <w:b/>
          <w:color w:val="FF0000"/>
          <w:kern w:val="0"/>
          <w:sz w:val="24"/>
          <w:lang w:val="en-US" w:eastAsia="zh-CN"/>
        </w:rPr>
        <w:t>六</w:t>
      </w:r>
      <w:r>
        <w:rPr>
          <w:rFonts w:ascii="宋体" w:hAnsi="宋体"/>
          <w:b/>
          <w:color w:val="FF0000"/>
          <w:kern w:val="0"/>
          <w:sz w:val="24"/>
        </w:rPr>
        <w:t>、付款方式</w:t>
      </w:r>
    </w:p>
    <w:bookmarkEnd w:id="54"/>
    <w:bookmarkEnd w:id="55"/>
    <w:bookmarkEnd w:id="56"/>
    <w:bookmarkEnd w:id="57"/>
    <w:bookmarkEnd w:id="64"/>
    <w:bookmarkEnd w:id="65"/>
    <w:bookmarkEnd w:id="66"/>
    <w:p>
      <w:pPr>
        <w:spacing w:line="440" w:lineRule="exact"/>
        <w:rPr>
          <w:rFonts w:hint="default" w:ascii="宋体" w:hAnsi="宋体"/>
          <w:b/>
          <w:color w:val="FF0000"/>
          <w:kern w:val="0"/>
          <w:sz w:val="24"/>
          <w:lang w:val="en-US" w:eastAsia="zh-CN"/>
        </w:rPr>
      </w:pPr>
      <w:r>
        <w:rPr>
          <w:rFonts w:hint="eastAsia" w:ascii="宋体" w:hAnsi="宋体"/>
          <w:b/>
          <w:color w:val="FF0000"/>
          <w:kern w:val="0"/>
          <w:sz w:val="24"/>
          <w:lang w:val="en-US" w:eastAsia="zh-CN"/>
        </w:rPr>
        <w:t>验收合格后，15个工作日内安排付款</w:t>
      </w:r>
    </w:p>
    <w:p>
      <w:pPr>
        <w:spacing w:line="440" w:lineRule="exact"/>
        <w:rPr>
          <w:rFonts w:hint="eastAsia" w:ascii="宋体" w:hAnsi="宋体"/>
          <w:b/>
          <w:color w:val="auto"/>
          <w:kern w:val="0"/>
          <w:sz w:val="24"/>
        </w:rPr>
      </w:pPr>
      <w:r>
        <w:rPr>
          <w:rFonts w:hint="eastAsia" w:ascii="宋体" w:hAnsi="宋体"/>
          <w:b/>
          <w:color w:val="auto"/>
          <w:kern w:val="0"/>
          <w:sz w:val="24"/>
          <w:lang w:val="en-US" w:eastAsia="zh-CN"/>
        </w:rPr>
        <w:t>七</w:t>
      </w:r>
      <w:r>
        <w:rPr>
          <w:rFonts w:hint="eastAsia" w:ascii="宋体" w:hAnsi="宋体"/>
          <w:b/>
          <w:color w:val="auto"/>
          <w:kern w:val="0"/>
          <w:sz w:val="24"/>
        </w:rPr>
        <w:t>、知识产权</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若成交供应商提供的采购标的不符合国家知识产权法律、法规的规定或被有关主管机关认定为假冒伪劣品，则成交供应商中标资格将被取消；采购人还将按照有关法律、法规和规章的规定进行处理，并按本合同约定追究其违约责任。</w:t>
      </w:r>
    </w:p>
    <w:p>
      <w:pPr>
        <w:spacing w:line="440" w:lineRule="exact"/>
        <w:rPr>
          <w:rFonts w:hint="eastAsia" w:ascii="宋体" w:hAnsi="宋体"/>
          <w:b/>
          <w:color w:val="auto"/>
          <w:sz w:val="24"/>
        </w:rPr>
      </w:pPr>
      <w:r>
        <w:rPr>
          <w:rFonts w:hint="eastAsia" w:ascii="宋体" w:hAnsi="宋体"/>
          <w:b/>
          <w:color w:val="auto"/>
          <w:sz w:val="24"/>
          <w:lang w:val="en-US" w:eastAsia="zh-CN"/>
        </w:rPr>
        <w:t>八</w:t>
      </w:r>
      <w:r>
        <w:rPr>
          <w:rFonts w:hint="eastAsia" w:ascii="宋体" w:hAnsi="宋体"/>
          <w:b/>
          <w:color w:val="auto"/>
          <w:sz w:val="24"/>
        </w:rPr>
        <w:t>、违约责任</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采购人在成交供应商将合同清单上的货物运达指定地点后15个工作日后无正当理由不接收的，或不及时验收的，成交供应商有权按规定提请有关部门依法处理，并根据处理结果依法由采购人赔偿成交供应商损失。</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（2）成交供应商所交货物不符合本招标文件要求的，采购人有权拒收；同时，成交供应商应向采购人赔偿该合同款30%的违约金，且涉及到的部分合同条款采购人有权终止履行。</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成交供应商不能按时交付货物的，每逾期1日，应按该合同款总额3‰标准向采购人支付日违约金，逾期超过15日的，采购人有权单方解除本合同，成交供应商除了应退还已收取的全部货款外，同时成交供应商还应向采购人偿付该合同款30%的违约金。</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（4）成交供应商未经采购人同意单方面终止合同的，成交供应商除了应向采购人赔偿因合同终止导致的损失外，还应向采购人偿付该合同款30%的违约金。</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（5）因成交供应商违约对采购人造成损失的赔偿金及合同约定的违约金均可由采购人从未支付的合同款或履约保证金中扣除。</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（6）成交供应商在货物运输、装卸、安装等各种环节中产生的一切意外事故，包括不可抗拒力因素造成的事故，造成货物或配件的损坏概由成交供应商负责。</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（7）因采购人原因导致成交供应商未能按合同约定履行的，成交供应商可免于承担违约责任。</w:t>
      </w:r>
    </w:p>
    <w:p>
      <w:pPr>
        <w:pStyle w:val="3"/>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p>
      <w:pPr>
        <w:pStyle w:val="3"/>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p>
      <w:pPr>
        <w:pStyle w:val="3"/>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bookmarkEnd w:id="50"/>
    <w:bookmarkEnd w:id="51"/>
    <w:p>
      <w:pPr>
        <w:pStyle w:val="16"/>
        <w:rPr>
          <w:rFonts w:hint="eastAsia"/>
          <w:color w:val="auto"/>
          <w:highlight w:val="none"/>
          <w:lang w:eastAsia="zh-CN"/>
        </w:rPr>
      </w:pPr>
    </w:p>
    <w:p>
      <w:pPr>
        <w:pStyle w:val="2"/>
        <w:spacing w:before="120" w:after="120" w:line="400" w:lineRule="exact"/>
        <w:jc w:val="center"/>
        <w:rPr>
          <w:rFonts w:hint="eastAsia" w:ascii="宋体" w:hAnsi="宋体" w:eastAsia="宋体"/>
          <w:color w:val="auto"/>
          <w:szCs w:val="32"/>
          <w:highlight w:val="none"/>
        </w:rPr>
      </w:pPr>
      <w:bookmarkStart w:id="67" w:name="_Toc1683"/>
      <w:r>
        <w:rPr>
          <w:rFonts w:hint="eastAsia" w:ascii="宋体" w:hAnsi="宋体" w:eastAsia="宋体"/>
          <w:color w:val="auto"/>
          <w:szCs w:val="32"/>
          <w:highlight w:val="none"/>
        </w:rPr>
        <w:br w:type="page"/>
      </w:r>
      <w:bookmarkStart w:id="68" w:name="_Toc25197"/>
      <w:bookmarkStart w:id="69" w:name="_Toc29063"/>
      <w:r>
        <w:rPr>
          <w:rFonts w:hint="eastAsia" w:ascii="宋体" w:hAnsi="宋体" w:eastAsia="宋体"/>
          <w:color w:val="auto"/>
          <w:szCs w:val="32"/>
          <w:highlight w:val="none"/>
        </w:rPr>
        <w:t>第</w:t>
      </w:r>
      <w:r>
        <w:rPr>
          <w:rFonts w:hint="eastAsia" w:ascii="宋体" w:hAnsi="宋体" w:eastAsia="宋体"/>
          <w:color w:val="auto"/>
          <w:szCs w:val="32"/>
          <w:highlight w:val="none"/>
          <w:lang w:eastAsia="zh-CN"/>
        </w:rPr>
        <w:t>四</w:t>
      </w:r>
      <w:r>
        <w:rPr>
          <w:rFonts w:hint="eastAsia" w:ascii="宋体" w:hAnsi="宋体" w:eastAsia="宋体"/>
          <w:color w:val="auto"/>
          <w:szCs w:val="32"/>
          <w:highlight w:val="none"/>
        </w:rPr>
        <w:t xml:space="preserve">部分    </w:t>
      </w:r>
      <w:r>
        <w:rPr>
          <w:rFonts w:hint="eastAsia" w:ascii="宋体" w:hAnsi="宋体" w:eastAsia="宋体"/>
          <w:color w:val="auto"/>
          <w:szCs w:val="32"/>
          <w:highlight w:val="none"/>
          <w:lang w:eastAsia="zh-CN"/>
        </w:rPr>
        <w:t>报价</w:t>
      </w:r>
      <w:r>
        <w:rPr>
          <w:rFonts w:hint="eastAsia" w:ascii="宋体" w:hAnsi="宋体" w:eastAsia="宋体"/>
          <w:color w:val="auto"/>
          <w:szCs w:val="32"/>
          <w:highlight w:val="none"/>
        </w:rPr>
        <w:t>文件格式</w:t>
      </w:r>
      <w:bookmarkEnd w:id="67"/>
      <w:bookmarkEnd w:id="68"/>
      <w:bookmarkEnd w:id="69"/>
    </w:p>
    <w:p>
      <w:pPr>
        <w:spacing w:line="360" w:lineRule="auto"/>
        <w:rPr>
          <w:rFonts w:hint="eastAsia" w:ascii="宋体" w:hAnsi="宋体"/>
          <w:b/>
          <w:color w:val="auto"/>
          <w:sz w:val="28"/>
          <w:szCs w:val="28"/>
          <w:highlight w:val="none"/>
        </w:rPr>
      </w:pPr>
    </w:p>
    <w:p>
      <w:pPr>
        <w:spacing w:line="360" w:lineRule="auto"/>
        <w:jc w:val="center"/>
        <w:rPr>
          <w:rFonts w:hint="eastAsia" w:ascii="宋体" w:hAnsi="宋体"/>
          <w:b/>
          <w:color w:val="auto"/>
          <w:sz w:val="72"/>
          <w:highlight w:val="none"/>
        </w:rPr>
      </w:pPr>
    </w:p>
    <w:p>
      <w:pPr>
        <w:spacing w:line="360" w:lineRule="auto"/>
        <w:jc w:val="center"/>
        <w:outlineLvl w:val="9"/>
        <w:rPr>
          <w:rFonts w:hint="eastAsia" w:ascii="宋体" w:hAnsi="宋体"/>
          <w:b/>
          <w:color w:val="auto"/>
          <w:sz w:val="84"/>
          <w:szCs w:val="84"/>
          <w:highlight w:val="none"/>
        </w:rPr>
      </w:pPr>
      <w:r>
        <w:rPr>
          <w:rFonts w:hint="eastAsia" w:ascii="宋体" w:hAnsi="宋体"/>
          <w:b/>
          <w:color w:val="auto"/>
          <w:sz w:val="84"/>
          <w:szCs w:val="84"/>
          <w:highlight w:val="none"/>
        </w:rPr>
        <w:t>报价响应文件</w:t>
      </w: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ind w:firstLine="1619" w:firstLineChars="448"/>
        <w:outlineLvl w:val="9"/>
        <w:rPr>
          <w:rFonts w:hint="eastAsia" w:ascii="宋体" w:hAnsi="宋体"/>
          <w:b/>
          <w:color w:val="auto"/>
          <w:sz w:val="36"/>
          <w:highlight w:val="none"/>
          <w:u w:val="single"/>
        </w:rPr>
      </w:pPr>
      <w:r>
        <w:rPr>
          <w:rFonts w:hint="eastAsia" w:ascii="宋体" w:hAnsi="宋体"/>
          <w:b/>
          <w:color w:val="auto"/>
          <w:sz w:val="36"/>
          <w:highlight w:val="none"/>
        </w:rPr>
        <w:t>采 购 编 号：</w:t>
      </w:r>
      <w:r>
        <w:rPr>
          <w:rFonts w:hint="eastAsia" w:ascii="宋体" w:hAnsi="宋体"/>
          <w:b/>
          <w:color w:val="auto"/>
          <w:sz w:val="36"/>
          <w:highlight w:val="none"/>
          <w:u w:val="single"/>
        </w:rPr>
        <w:t xml:space="preserve">                    </w:t>
      </w:r>
    </w:p>
    <w:p>
      <w:pPr>
        <w:spacing w:line="360" w:lineRule="auto"/>
        <w:ind w:firstLine="1619" w:firstLineChars="448"/>
        <w:outlineLvl w:val="9"/>
        <w:rPr>
          <w:rFonts w:hint="eastAsia" w:ascii="宋体" w:hAnsi="宋体"/>
          <w:b/>
          <w:bCs/>
          <w:color w:val="auto"/>
          <w:sz w:val="32"/>
          <w:highlight w:val="none"/>
          <w:u w:val="single"/>
        </w:rPr>
      </w:pPr>
      <w:r>
        <w:rPr>
          <w:rFonts w:hint="eastAsia" w:ascii="宋体" w:hAnsi="宋体"/>
          <w:b/>
          <w:color w:val="auto"/>
          <w:sz w:val="36"/>
          <w:highlight w:val="none"/>
        </w:rPr>
        <w:t>项 目 名 称：</w:t>
      </w:r>
      <w:r>
        <w:rPr>
          <w:rFonts w:hint="eastAsia" w:ascii="宋体" w:hAnsi="宋体"/>
          <w:b/>
          <w:color w:val="auto"/>
          <w:sz w:val="36"/>
          <w:highlight w:val="none"/>
          <w:u w:val="single"/>
        </w:rPr>
        <w:t xml:space="preserve"> </w:t>
      </w:r>
      <w:r>
        <w:rPr>
          <w:rFonts w:hint="eastAsia" w:ascii="宋体" w:hAnsi="宋体"/>
          <w:b/>
          <w:color w:val="auto"/>
          <w:sz w:val="36"/>
          <w:highlight w:val="none"/>
          <w:u w:val="single"/>
          <w:lang w:val="en-US" w:eastAsia="zh-CN"/>
        </w:rPr>
        <w:t xml:space="preserve">学生电赛设备    </w:t>
      </w:r>
      <w:r>
        <w:rPr>
          <w:rFonts w:hint="eastAsia" w:ascii="宋体" w:hAnsi="宋体"/>
          <w:b/>
          <w:color w:val="auto"/>
          <w:sz w:val="36"/>
          <w:highlight w:val="none"/>
          <w:u w:val="single"/>
        </w:rPr>
        <w:t xml:space="preserve">   </w:t>
      </w:r>
    </w:p>
    <w:p>
      <w:pPr>
        <w:spacing w:line="360" w:lineRule="auto"/>
        <w:outlineLvl w:val="9"/>
        <w:rPr>
          <w:rFonts w:hint="eastAsia" w:ascii="宋体" w:hAnsi="宋体"/>
          <w:color w:val="auto"/>
          <w:sz w:val="28"/>
          <w:szCs w:val="28"/>
          <w:highlight w:val="none"/>
        </w:rPr>
      </w:pPr>
    </w:p>
    <w:p>
      <w:pPr>
        <w:pStyle w:val="14"/>
        <w:rPr>
          <w:rFonts w:hint="eastAsia"/>
          <w:color w:val="auto"/>
          <w:highlight w:val="none"/>
        </w:rPr>
      </w:pPr>
    </w:p>
    <w:p>
      <w:pPr>
        <w:spacing w:line="360" w:lineRule="auto"/>
        <w:rPr>
          <w:rFonts w:hint="eastAsia" w:ascii="宋体" w:hAnsi="宋体"/>
          <w:b/>
          <w:color w:val="auto"/>
          <w:sz w:val="36"/>
          <w:highlight w:val="none"/>
        </w:rPr>
      </w:pPr>
    </w:p>
    <w:p>
      <w:pPr>
        <w:pStyle w:val="14"/>
        <w:rPr>
          <w:rFonts w:hint="eastAsia"/>
          <w:color w:val="auto"/>
          <w:highlight w:val="none"/>
        </w:rPr>
      </w:pPr>
    </w:p>
    <w:p>
      <w:pPr>
        <w:spacing w:line="360" w:lineRule="auto"/>
        <w:outlineLvl w:val="9"/>
        <w:rPr>
          <w:rFonts w:hint="eastAsia" w:ascii="宋体" w:hAnsi="宋体"/>
          <w:b/>
          <w:color w:val="auto"/>
          <w:sz w:val="36"/>
          <w:highlight w:val="none"/>
        </w:rPr>
      </w:pPr>
    </w:p>
    <w:p>
      <w:pPr>
        <w:spacing w:line="360" w:lineRule="auto"/>
        <w:ind w:firstLine="1438" w:firstLineChars="398"/>
        <w:outlineLvl w:val="9"/>
        <w:rPr>
          <w:rFonts w:hint="eastAsia" w:ascii="宋体" w:hAnsi="宋体"/>
          <w:b/>
          <w:color w:val="auto"/>
          <w:sz w:val="36"/>
          <w:highlight w:val="none"/>
          <w:u w:val="single"/>
        </w:rPr>
      </w:pPr>
      <w:r>
        <w:rPr>
          <w:rFonts w:hint="eastAsia" w:ascii="宋体" w:hAnsi="宋体"/>
          <w:b/>
          <w:color w:val="auto"/>
          <w:sz w:val="36"/>
          <w:highlight w:val="none"/>
        </w:rPr>
        <w:t xml:space="preserve">  报价供应商名称：</w:t>
      </w:r>
      <w:r>
        <w:rPr>
          <w:rFonts w:hint="eastAsia" w:ascii="宋体" w:hAnsi="宋体"/>
          <w:b/>
          <w:color w:val="auto"/>
          <w:sz w:val="36"/>
          <w:highlight w:val="none"/>
          <w:u w:val="single"/>
        </w:rPr>
        <w:t xml:space="preserve">               </w:t>
      </w:r>
    </w:p>
    <w:p>
      <w:pPr>
        <w:spacing w:line="360" w:lineRule="auto"/>
        <w:ind w:firstLine="1438" w:firstLineChars="398"/>
        <w:outlineLvl w:val="9"/>
        <w:rPr>
          <w:rFonts w:hint="eastAsia" w:ascii="宋体" w:hAnsi="宋体"/>
          <w:b/>
          <w:color w:val="auto"/>
          <w:sz w:val="36"/>
          <w:highlight w:val="none"/>
        </w:rPr>
      </w:pPr>
      <w:r>
        <w:rPr>
          <w:rFonts w:hint="eastAsia" w:ascii="宋体" w:hAnsi="宋体"/>
          <w:b/>
          <w:color w:val="auto"/>
          <w:sz w:val="36"/>
          <w:highlight w:val="none"/>
        </w:rPr>
        <w:t xml:space="preserve">  日      期：</w:t>
      </w:r>
      <w:r>
        <w:rPr>
          <w:rFonts w:hint="eastAsia" w:ascii="宋体" w:hAnsi="宋体"/>
          <w:b/>
          <w:color w:val="auto"/>
          <w:sz w:val="36"/>
          <w:highlight w:val="none"/>
          <w:u w:val="single"/>
        </w:rPr>
        <w:t xml:space="preserve">               </w:t>
      </w:r>
    </w:p>
    <w:p>
      <w:pPr>
        <w:widowControl/>
        <w:spacing w:line="400" w:lineRule="exact"/>
        <w:ind w:firstLine="5600" w:firstLineChars="2000"/>
        <w:outlineLvl w:val="9"/>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pStyle w:val="14"/>
        <w:rPr>
          <w:rFonts w:hint="eastAsia"/>
          <w:color w:val="auto"/>
          <w:highlight w:val="none"/>
        </w:rPr>
      </w:pPr>
    </w:p>
    <w:p>
      <w:pPr>
        <w:rPr>
          <w:rFonts w:hint="eastAsia"/>
          <w:color w:val="auto"/>
          <w:highlight w:val="none"/>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rPr>
          <w:rFonts w:hint="eastAsia" w:ascii="宋体" w:hAnsi="宋体" w:eastAsia="宋体" w:cs="宋体"/>
          <w:color w:val="auto"/>
          <w:sz w:val="28"/>
          <w:szCs w:val="28"/>
          <w:highlight w:val="none"/>
        </w:rPr>
      </w:pPr>
      <w:bookmarkStart w:id="70" w:name="_Toc12112"/>
      <w:bookmarkStart w:id="71" w:name="_Toc1376"/>
      <w:bookmarkStart w:id="72" w:name="_Toc29646"/>
      <w:bookmarkStart w:id="73" w:name="_Toc14215"/>
      <w:bookmarkStart w:id="74" w:name="_Toc1606"/>
      <w:bookmarkStart w:id="75" w:name="_Toc502907889"/>
      <w:bookmarkStart w:id="76" w:name="_Toc372013039"/>
      <w:bookmarkStart w:id="77" w:name="_Toc373141305"/>
      <w:bookmarkStart w:id="78" w:name="_Toc393727156"/>
      <w:bookmarkStart w:id="79" w:name="_Toc432513145"/>
      <w:r>
        <w:rPr>
          <w:rFonts w:hint="eastAsia" w:ascii="宋体" w:hAnsi="宋体" w:eastAsia="宋体" w:cs="宋体"/>
          <w:b/>
          <w:color w:val="auto"/>
          <w:sz w:val="28"/>
          <w:szCs w:val="28"/>
          <w:highlight w:val="none"/>
        </w:rPr>
        <w:t xml:space="preserve">格式1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报   价  书</w:t>
      </w:r>
      <w:bookmarkEnd w:id="70"/>
      <w:bookmarkEnd w:id="71"/>
      <w:bookmarkEnd w:id="72"/>
      <w:bookmarkEnd w:id="73"/>
    </w:p>
    <w:p>
      <w:pPr>
        <w:pStyle w:val="8"/>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泉州师范学院（物理与信息工程学院）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学生电赛设备</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 项目招标采购货物及服务的报价邀请，报价代表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(全名、职务)经正式授权并代表报价供应商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(报价供应商全称、地址)提交以下文件正本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份和副本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报价书、报价一览表等；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资格证明文件；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按报价供应商须知要求提供的全部文件；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按询价文件要求提供的有关必要文件；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报价供应商认为需加以说明的其它文件；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据此函，报价供应商同意遵守如下条款：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1、所附“报价一览表”规定的应提供和支付的服务</w:t>
      </w:r>
      <w:r>
        <w:rPr>
          <w:rFonts w:hint="eastAsia" w:ascii="宋体" w:hAnsi="宋体" w:cs="宋体"/>
          <w:color w:val="auto"/>
          <w:sz w:val="24"/>
          <w:szCs w:val="24"/>
          <w:highlight w:val="none"/>
          <w:lang w:eastAsia="zh-CN"/>
        </w:rPr>
        <w:t>，报价为人民币</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2、报价供应商将按询价文件规定履行合同责任和义务。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3、报价供应商已详细审查全部询价文件，包括修改文件（如有的话）以及全部参考资料和相关附件。我们完全理解并同意放弃对这方面有不明及误解的权利。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4、本次报价有效期在本询价文件中所规定的时间内保持有效。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5、如果在规定的评审时间后，报价供应商在报价有效期内撤回报价，其报价保证金将不予退还。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color w:val="auto"/>
          <w:spacing w:val="-4"/>
          <w:sz w:val="24"/>
          <w:szCs w:val="24"/>
          <w:highlight w:val="none"/>
        </w:rPr>
      </w:pPr>
      <w:r>
        <w:rPr>
          <w:rFonts w:hint="eastAsia" w:ascii="宋体" w:hAnsi="宋体" w:eastAsia="宋体" w:cs="宋体"/>
          <w:color w:val="auto"/>
          <w:sz w:val="24"/>
          <w:szCs w:val="24"/>
          <w:highlight w:val="none"/>
        </w:rPr>
        <w:t>6、报价供应商</w:t>
      </w:r>
      <w:r>
        <w:rPr>
          <w:rFonts w:hint="eastAsia" w:ascii="宋体" w:hAnsi="宋体" w:eastAsia="宋体" w:cs="宋体"/>
          <w:color w:val="auto"/>
          <w:spacing w:val="-4"/>
          <w:sz w:val="24"/>
          <w:szCs w:val="24"/>
          <w:highlight w:val="none"/>
        </w:rPr>
        <w:t>同意提供按照采购代理机构可能要求的与其报价有关的一切数据或资料，完全理解采购代理机构不一定要接受最低价的报价或逾期收到的任何报价。</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7、与本报价有关的一切正式往来通讯请寄：</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地址：</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邮编：</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电话：</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传真：</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u w:val="single"/>
        </w:rPr>
      </w:pPr>
      <w:r>
        <w:rPr>
          <w:rFonts w:hint="eastAsia" w:ascii="宋体" w:hAnsi="宋体" w:eastAsia="宋体" w:cs="宋体"/>
          <w:color w:val="auto"/>
          <w:spacing w:val="-4"/>
          <w:sz w:val="24"/>
          <w:szCs w:val="24"/>
          <w:highlight w:val="none"/>
        </w:rPr>
        <w:t>报价代表姓名、职务(印刷体)：</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报价代表签字：</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报价供应商全称（加盖公章）：</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日期：</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年</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月</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日 </w:t>
      </w:r>
    </w:p>
    <w:p>
      <w:pPr>
        <w:pStyle w:val="16"/>
        <w:rPr>
          <w:rFonts w:hint="eastAsia"/>
          <w:color w:val="auto"/>
          <w:highlight w:val="none"/>
        </w:rPr>
      </w:pPr>
    </w:p>
    <w:p>
      <w:pPr>
        <w:keepNext w:val="0"/>
        <w:keepLines w:val="0"/>
        <w:pageBreakBefore w:val="0"/>
        <w:kinsoku/>
        <w:wordWrap/>
        <w:overflowPunct/>
        <w:topLinePunct w:val="0"/>
        <w:bidi w:val="0"/>
        <w:spacing w:line="440" w:lineRule="exact"/>
        <w:outlineLvl w:val="9"/>
        <w:rPr>
          <w:rFonts w:hint="eastAsia" w:ascii="宋体" w:hAnsi="宋体" w:eastAsia="宋体" w:cs="宋体"/>
          <w:b/>
          <w:color w:val="auto"/>
          <w:sz w:val="28"/>
          <w:szCs w:val="28"/>
          <w:highlight w:val="none"/>
        </w:rPr>
      </w:pPr>
    </w:p>
    <w:p>
      <w:pPr>
        <w:pStyle w:val="23"/>
        <w:rPr>
          <w:rFonts w:hint="eastAsia"/>
        </w:rPr>
      </w:pPr>
    </w:p>
    <w:p>
      <w:pPr>
        <w:keepNext w:val="0"/>
        <w:keepLines w:val="0"/>
        <w:pageBreakBefore w:val="0"/>
        <w:kinsoku/>
        <w:wordWrap/>
        <w:overflowPunct/>
        <w:topLinePunct w:val="0"/>
        <w:bidi w:val="0"/>
        <w:spacing w:line="440" w:lineRule="exact"/>
        <w:outlineLvl w:val="0"/>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 xml:space="preserve"> </w:t>
      </w:r>
      <w:bookmarkEnd w:id="74"/>
      <w:bookmarkEnd w:id="75"/>
      <w:bookmarkEnd w:id="76"/>
      <w:bookmarkEnd w:id="77"/>
      <w:bookmarkEnd w:id="78"/>
      <w:bookmarkEnd w:id="79"/>
      <w:bookmarkStart w:id="80" w:name="_Toc4358"/>
      <w:bookmarkStart w:id="81" w:name="_Toc20566"/>
      <w:bookmarkStart w:id="82" w:name="_Toc26916"/>
      <w:bookmarkStart w:id="83" w:name="_Toc13976"/>
      <w:r>
        <w:rPr>
          <w:rFonts w:hint="eastAsia" w:ascii="宋体" w:hAnsi="宋体" w:eastAsia="宋体" w:cs="宋体"/>
          <w:b/>
          <w:color w:val="auto"/>
          <w:sz w:val="28"/>
          <w:szCs w:val="28"/>
          <w:highlight w:val="none"/>
        </w:rPr>
        <w:t>格式2                       报价一览表</w:t>
      </w:r>
      <w:bookmarkEnd w:id="80"/>
      <w:bookmarkEnd w:id="81"/>
      <w:bookmarkEnd w:id="82"/>
      <w:bookmarkEnd w:id="83"/>
    </w:p>
    <w:p>
      <w:pPr>
        <w:keepNext w:val="0"/>
        <w:keepLines w:val="0"/>
        <w:pageBreakBefore w:val="0"/>
        <w:kinsoku/>
        <w:wordWrap/>
        <w:overflowPunct/>
        <w:topLinePunct w:val="0"/>
        <w:bidi w:val="0"/>
        <w:spacing w:line="440" w:lineRule="exact"/>
        <w:rPr>
          <w:rFonts w:hint="eastAsia" w:ascii="宋体" w:hAnsi="宋体" w:eastAsia="宋体" w:cs="宋体"/>
          <w:color w:val="auto"/>
          <w:sz w:val="28"/>
          <w:szCs w:val="28"/>
          <w:highlight w:val="none"/>
        </w:rPr>
      </w:pP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tbl>
      <w:tblPr>
        <w:tblStyle w:val="18"/>
        <w:tblW w:w="8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552"/>
        <w:gridCol w:w="972"/>
        <w:gridCol w:w="3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合同号</w:t>
            </w:r>
          </w:p>
        </w:tc>
        <w:tc>
          <w:tcPr>
            <w:tcW w:w="3552"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采购标的</w:t>
            </w:r>
          </w:p>
        </w:tc>
        <w:tc>
          <w:tcPr>
            <w:tcW w:w="972"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数量</w:t>
            </w:r>
          </w:p>
        </w:tc>
        <w:tc>
          <w:tcPr>
            <w:tcW w:w="3220"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lang w:eastAsia="zh-CN"/>
              </w:rPr>
            </w:pPr>
            <w:r>
              <w:rPr>
                <w:rFonts w:hint="eastAsia" w:hAnsi="宋体" w:cs="宋体"/>
                <w:b/>
                <w:color w:val="auto"/>
                <w:sz w:val="24"/>
                <w:szCs w:val="24"/>
                <w:highlight w:val="none"/>
                <w:lang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552" w:type="dxa"/>
            <w:tcBorders>
              <w:top w:val="single" w:color="auto" w:sz="4" w:space="0"/>
              <w:left w:val="single" w:color="auto" w:sz="4" w:space="0"/>
              <w:bottom w:val="single" w:color="auto" w:sz="4" w:space="0"/>
              <w:right w:val="single" w:color="auto" w:sz="4" w:space="0"/>
            </w:tcBorders>
            <w:vAlign w:val="center"/>
          </w:tcPr>
          <w:p>
            <w:pPr>
              <w:pStyle w:val="13"/>
              <w:widowControl/>
              <w:spacing w:line="440" w:lineRule="exact"/>
              <w:ind w:left="0" w:leftChars="0" w:right="0" w:rightChars="0"/>
              <w:jc w:val="center"/>
              <w:rPr>
                <w:rFonts w:hint="default" w:ascii="宋体" w:hAnsi="宋体" w:eastAsia="宋体" w:cs="宋体"/>
                <w:color w:val="auto"/>
                <w:sz w:val="24"/>
                <w:szCs w:val="24"/>
                <w:highlight w:val="none"/>
                <w:lang w:val="en-US"/>
              </w:rPr>
            </w:pPr>
          </w:p>
        </w:tc>
        <w:tc>
          <w:tcPr>
            <w:tcW w:w="972" w:type="dxa"/>
            <w:tcBorders>
              <w:top w:val="single" w:color="auto" w:sz="4" w:space="0"/>
              <w:left w:val="single" w:color="auto" w:sz="4" w:space="0"/>
              <w:bottom w:val="single" w:color="auto" w:sz="4" w:space="0"/>
              <w:right w:val="single" w:color="auto" w:sz="4" w:space="0"/>
            </w:tcBorders>
            <w:vAlign w:val="center"/>
          </w:tcPr>
          <w:p>
            <w:pPr>
              <w:pStyle w:val="13"/>
              <w:widowControl/>
              <w:spacing w:line="440" w:lineRule="exact"/>
              <w:ind w:left="0" w:leftChars="0" w:right="0" w:rightChars="0"/>
              <w:jc w:val="center"/>
              <w:rPr>
                <w:rFonts w:hint="eastAsia" w:ascii="宋体" w:hAnsi="宋体" w:eastAsia="宋体" w:cs="宋体"/>
                <w:color w:val="auto"/>
                <w:sz w:val="24"/>
                <w:szCs w:val="24"/>
                <w:highlight w:val="none"/>
                <w:lang w:val="zh-CN"/>
              </w:rPr>
            </w:pPr>
          </w:p>
        </w:tc>
        <w:tc>
          <w:tcPr>
            <w:tcW w:w="3220" w:type="dxa"/>
            <w:tcBorders>
              <w:top w:val="single" w:color="auto" w:sz="4" w:space="0"/>
              <w:left w:val="single" w:color="auto" w:sz="4" w:space="0"/>
              <w:bottom w:val="single" w:color="auto" w:sz="4" w:space="0"/>
              <w:right w:val="single" w:color="auto" w:sz="4" w:space="0"/>
            </w:tcBorders>
            <w:vAlign w:val="center"/>
          </w:tcPr>
          <w:p>
            <w:pPr>
              <w:pStyle w:val="9"/>
              <w:tabs>
                <w:tab w:val="left" w:pos="8360"/>
              </w:tabs>
              <w:spacing w:line="360" w:lineRule="exact"/>
              <w:jc w:val="center"/>
              <w:rPr>
                <w:rFonts w:hint="default" w:ascii="宋体" w:hAnsi="宋体" w:eastAsia="宋体" w:cs="宋体"/>
                <w:color w:val="auto"/>
                <w:sz w:val="24"/>
                <w:szCs w:val="24"/>
                <w:highlight w:val="none"/>
                <w:u w:val="single"/>
                <w:lang w:val="en-US"/>
              </w:rPr>
            </w:pPr>
          </w:p>
        </w:tc>
      </w:tr>
    </w:tbl>
    <w:p>
      <w:pPr>
        <w:pStyle w:val="23"/>
        <w:rPr>
          <w:rFonts w:hint="eastAsia" w:ascii="宋体" w:hAnsi="宋体" w:eastAsia="宋体" w:cs="宋体"/>
          <w:color w:val="auto"/>
          <w:sz w:val="24"/>
          <w:szCs w:val="24"/>
          <w:highlight w:val="none"/>
          <w:u w:val="single"/>
        </w:rPr>
      </w:pPr>
    </w:p>
    <w:p>
      <w:pPr>
        <w:pStyle w:val="23"/>
        <w:rPr>
          <w:rFonts w:hint="eastAsia" w:ascii="宋体" w:hAnsi="宋体" w:eastAsia="宋体" w:cs="宋体"/>
          <w:color w:val="auto"/>
          <w:sz w:val="24"/>
          <w:szCs w:val="24"/>
          <w:highlight w:val="none"/>
          <w:u w:val="single"/>
        </w:rPr>
      </w:pPr>
    </w:p>
    <w:p>
      <w:pPr>
        <w:pStyle w:val="23"/>
        <w:rPr>
          <w:rFonts w:hint="eastAsia" w:ascii="宋体" w:hAnsi="宋体" w:eastAsia="宋体" w:cs="宋体"/>
          <w:color w:val="auto"/>
          <w:sz w:val="24"/>
          <w:szCs w:val="24"/>
          <w:highlight w:val="none"/>
          <w:u w:val="single"/>
        </w:rPr>
      </w:pPr>
    </w:p>
    <w:p>
      <w:pPr>
        <w:pStyle w:val="23"/>
        <w:rPr>
          <w:rFonts w:hint="eastAsia" w:ascii="宋体" w:hAnsi="宋体" w:eastAsia="宋体" w:cs="宋体"/>
          <w:color w:val="auto"/>
          <w:sz w:val="24"/>
          <w:szCs w:val="24"/>
          <w:highlight w:val="none"/>
          <w:u w:val="single"/>
        </w:rPr>
      </w:pPr>
    </w:p>
    <w:p>
      <w:pPr>
        <w:pStyle w:val="23"/>
        <w:rPr>
          <w:rFonts w:hint="eastAsia" w:ascii="宋体" w:hAnsi="宋体" w:eastAsia="宋体" w:cs="宋体"/>
          <w:color w:val="auto"/>
          <w:sz w:val="24"/>
          <w:szCs w:val="24"/>
          <w:highlight w:val="none"/>
          <w:u w:val="singl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pStyle w:val="16"/>
        <w:rPr>
          <w:rFonts w:hint="eastAsia" w:ascii="宋体" w:hAnsi="宋体" w:eastAsia="宋体" w:cs="宋体"/>
          <w:color w:val="auto"/>
          <w:sz w:val="28"/>
          <w:szCs w:val="28"/>
          <w:highlight w:val="none"/>
        </w:rPr>
      </w:pPr>
    </w:p>
    <w:p>
      <w:pPr>
        <w:pStyle w:val="16"/>
        <w:rPr>
          <w:rFonts w:hint="eastAsia" w:ascii="宋体" w:hAnsi="宋体" w:eastAsia="宋体" w:cs="宋体"/>
          <w:color w:val="auto"/>
          <w:sz w:val="28"/>
          <w:szCs w:val="28"/>
          <w:highlight w:val="none"/>
        </w:rPr>
      </w:pPr>
    </w:p>
    <w:p>
      <w:pPr>
        <w:pStyle w:val="16"/>
        <w:rPr>
          <w:rFonts w:hint="eastAsia" w:ascii="宋体" w:hAnsi="宋体" w:eastAsia="宋体" w:cs="宋体"/>
          <w:color w:val="auto"/>
          <w:sz w:val="28"/>
          <w:szCs w:val="28"/>
          <w:highlight w:val="none"/>
        </w:rPr>
      </w:pPr>
    </w:p>
    <w:p>
      <w:pPr>
        <w:pStyle w:val="16"/>
        <w:rPr>
          <w:rFonts w:hint="eastAsia" w:ascii="宋体" w:hAnsi="宋体" w:cs="宋体"/>
          <w:color w:val="auto"/>
          <w:sz w:val="28"/>
          <w:szCs w:val="28"/>
          <w:highlight w:val="none"/>
          <w:lang w:val="en-US" w:eastAsia="zh-CN"/>
        </w:rPr>
      </w:pPr>
    </w:p>
    <w:p>
      <w:pPr>
        <w:spacing w:line="400" w:lineRule="exact"/>
        <w:outlineLvl w:val="9"/>
        <w:rPr>
          <w:rFonts w:hint="eastAsia" w:hAnsi="宋体"/>
          <w:b/>
          <w:color w:val="auto"/>
          <w:sz w:val="24"/>
          <w:highlight w:val="none"/>
        </w:rPr>
      </w:pPr>
      <w:bookmarkStart w:id="84" w:name="_Toc477899480"/>
    </w:p>
    <w:p>
      <w:pPr>
        <w:spacing w:line="400" w:lineRule="exact"/>
        <w:outlineLvl w:val="0"/>
        <w:rPr>
          <w:rFonts w:hint="eastAsia" w:ascii="宋体" w:hAnsi="宋体"/>
          <w:b/>
          <w:color w:val="auto"/>
          <w:sz w:val="24"/>
          <w:highlight w:val="none"/>
        </w:rPr>
      </w:pPr>
      <w:bookmarkStart w:id="85" w:name="_Toc12436"/>
      <w:bookmarkStart w:id="86" w:name="_Toc7138"/>
      <w:r>
        <w:rPr>
          <w:rFonts w:hint="eastAsia" w:hAnsi="宋体"/>
          <w:b/>
          <w:color w:val="auto"/>
          <w:sz w:val="24"/>
          <w:highlight w:val="none"/>
        </w:rPr>
        <w:t>格式</w:t>
      </w:r>
      <w:r>
        <w:rPr>
          <w:rFonts w:hint="eastAsia" w:hAnsi="宋体"/>
          <w:b/>
          <w:color w:val="auto"/>
          <w:sz w:val="24"/>
          <w:highlight w:val="none"/>
          <w:lang w:val="en-US" w:eastAsia="zh-CN"/>
        </w:rPr>
        <w:t>3</w:t>
      </w:r>
      <w:r>
        <w:rPr>
          <w:rFonts w:hint="eastAsia" w:hAnsi="宋体"/>
          <w:b/>
          <w:color w:val="auto"/>
          <w:sz w:val="24"/>
          <w:highlight w:val="none"/>
        </w:rPr>
        <w:t xml:space="preserve">   </w:t>
      </w:r>
      <w:r>
        <w:rPr>
          <w:rFonts w:hint="eastAsia" w:ascii="宋体" w:hAnsi="宋体"/>
          <w:b/>
          <w:color w:val="auto"/>
          <w:sz w:val="24"/>
          <w:highlight w:val="none"/>
        </w:rPr>
        <w:t xml:space="preserve">                       分项报价明细表</w:t>
      </w:r>
      <w:bookmarkEnd w:id="84"/>
      <w:bookmarkEnd w:id="85"/>
      <w:bookmarkEnd w:id="86"/>
    </w:p>
    <w:p>
      <w:pPr>
        <w:spacing w:line="400" w:lineRule="exact"/>
        <w:rPr>
          <w:rFonts w:hint="eastAsia" w:ascii="黑体" w:hAnsi="Arial" w:eastAsia="黑体"/>
          <w:b/>
          <w:color w:val="auto"/>
          <w:sz w:val="24"/>
          <w:highlight w:val="none"/>
        </w:rPr>
      </w:pP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400" w:lineRule="exact"/>
        <w:rPr>
          <w:rFonts w:hint="eastAsia" w:ascii="Arial" w:hAnsi="Arial"/>
          <w:color w:val="auto"/>
          <w:szCs w:val="21"/>
          <w:highlight w:val="none"/>
        </w:rPr>
      </w:pPr>
    </w:p>
    <w:p>
      <w:pPr>
        <w:pStyle w:val="23"/>
        <w:rPr>
          <w:rFonts w:hint="eastAsia" w:ascii="Arial" w:hAnsi="Arial"/>
          <w:color w:val="auto"/>
          <w:szCs w:val="21"/>
          <w:highlight w:val="none"/>
        </w:rPr>
      </w:pPr>
    </w:p>
    <w:p>
      <w:pPr>
        <w:pStyle w:val="23"/>
        <w:rPr>
          <w:rFonts w:hint="eastAsia" w:ascii="Arial" w:hAnsi="Arial"/>
          <w:color w:val="auto"/>
          <w:szCs w:val="21"/>
          <w:highlight w:val="none"/>
        </w:rPr>
      </w:pPr>
    </w:p>
    <w:p>
      <w:pPr>
        <w:spacing w:line="400" w:lineRule="exact"/>
        <w:jc w:val="center"/>
        <w:rPr>
          <w:rFonts w:hint="default" w:ascii="Arial" w:hAnsi="Arial" w:eastAsia="宋体"/>
          <w:color w:val="auto"/>
          <w:sz w:val="32"/>
          <w:szCs w:val="32"/>
          <w:highlight w:val="none"/>
          <w:lang w:val="en-US" w:eastAsia="zh-CN"/>
        </w:rPr>
      </w:pPr>
      <w:r>
        <w:rPr>
          <w:rFonts w:hint="eastAsia" w:ascii="Arial" w:hAnsi="Arial"/>
          <w:color w:val="auto"/>
          <w:sz w:val="32"/>
          <w:szCs w:val="32"/>
          <w:highlight w:val="none"/>
          <w:lang w:val="en-US" w:eastAsia="zh-CN"/>
        </w:rPr>
        <w:t>格式自拟定</w:t>
      </w:r>
    </w:p>
    <w:p>
      <w:pPr>
        <w:spacing w:line="400" w:lineRule="exact"/>
        <w:rPr>
          <w:rFonts w:hint="eastAsia" w:ascii="Arial" w:hAnsi="Arial"/>
          <w:color w:val="auto"/>
          <w:szCs w:val="21"/>
          <w:highlight w:val="none"/>
        </w:rPr>
      </w:pPr>
    </w:p>
    <w:p>
      <w:pPr>
        <w:pStyle w:val="23"/>
        <w:rPr>
          <w:rFonts w:hint="eastAsia" w:ascii="Arial" w:hAnsi="Arial"/>
          <w:color w:val="auto"/>
          <w:szCs w:val="21"/>
          <w:highlight w:val="none"/>
        </w:rPr>
      </w:pPr>
    </w:p>
    <w:p>
      <w:pPr>
        <w:pStyle w:val="23"/>
        <w:rPr>
          <w:rFonts w:hint="eastAsia" w:ascii="Arial" w:hAnsi="Arial"/>
          <w:color w:val="auto"/>
          <w:szCs w:val="21"/>
          <w:highlight w:val="none"/>
        </w:rPr>
      </w:pPr>
    </w:p>
    <w:p>
      <w:pPr>
        <w:pStyle w:val="23"/>
        <w:rPr>
          <w:rFonts w:hint="eastAsia" w:ascii="Arial" w:hAnsi="Arial"/>
          <w:color w:val="auto"/>
          <w:szCs w:val="21"/>
          <w:highlight w:val="none"/>
        </w:rPr>
      </w:pPr>
    </w:p>
    <w:p>
      <w:pPr>
        <w:spacing w:line="400" w:lineRule="exact"/>
        <w:rPr>
          <w:rFonts w:hint="eastAsia" w:ascii="宋体" w:hAnsi="宋体"/>
          <w:b/>
          <w:color w:val="auto"/>
          <w:szCs w:val="21"/>
          <w:highlight w:val="none"/>
        </w:rPr>
      </w:pPr>
    </w:p>
    <w:p>
      <w:pPr>
        <w:spacing w:line="400" w:lineRule="exact"/>
        <w:rPr>
          <w:rFonts w:hint="eastAsia" w:ascii="宋体" w:hAnsi="宋体"/>
          <w:color w:val="auto"/>
          <w:szCs w:val="21"/>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spacing w:line="440" w:lineRule="exact"/>
        <w:jc w:val="both"/>
        <w:outlineLvl w:val="0"/>
        <w:rPr>
          <w:rFonts w:hint="eastAsia" w:ascii="宋体" w:hAnsi="宋体" w:eastAsia="宋体" w:cs="宋体"/>
          <w:b/>
          <w:color w:val="auto"/>
          <w:sz w:val="28"/>
          <w:szCs w:val="28"/>
          <w:highlight w:val="none"/>
        </w:rPr>
      </w:pPr>
      <w:bookmarkStart w:id="87" w:name="_Toc29026"/>
      <w:bookmarkStart w:id="88" w:name="_Toc102"/>
      <w:bookmarkStart w:id="89" w:name="_Toc24037"/>
      <w:bookmarkStart w:id="90" w:name="_Toc24019"/>
      <w:bookmarkStart w:id="91" w:name="_Toc23010"/>
      <w:bookmarkStart w:id="92" w:name="_Toc393727163"/>
      <w:bookmarkStart w:id="93" w:name="_Toc502907895"/>
      <w:bookmarkStart w:id="94" w:name="_Toc145132116"/>
      <w:bookmarkStart w:id="95" w:name="_Toc373141312"/>
      <w:bookmarkStart w:id="96" w:name="_Toc372013046"/>
      <w:bookmarkStart w:id="97" w:name="_Toc432513149"/>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4</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bookmarkEnd w:id="87"/>
      <w:bookmarkEnd w:id="88"/>
      <w:bookmarkEnd w:id="89"/>
      <w:bookmarkEnd w:id="90"/>
    </w:p>
    <w:p>
      <w:pPr>
        <w:spacing w:line="440" w:lineRule="exact"/>
        <w:ind w:firstLine="2940" w:firstLineChars="1046"/>
        <w:jc w:val="left"/>
        <w:rPr>
          <w:rFonts w:hint="eastAsia" w:ascii="宋体" w:hAnsi="宋体" w:eastAsia="宋体" w:cs="宋体"/>
          <w:b/>
          <w:color w:val="auto"/>
          <w:sz w:val="28"/>
          <w:szCs w:val="28"/>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泉州师范学院（采购单位名称）      </w:t>
      </w:r>
    </w:p>
    <w:p>
      <w:pPr>
        <w:spacing w:line="36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(采购编号、项目名称)采购项目的报价邀请，我方愿意参加报价，并证明所提供的资格文件和所要求的说明是真实可靠的和准确无误的。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我方对可能要求提供的进一步的资格资料表示理解和同意，并同意按贵方的要求提供任何有关资料。</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w:t>
      </w:r>
      <w:r>
        <w:rPr>
          <w:rFonts w:hint="eastAsia" w:ascii="宋体" w:hAnsi="宋体" w:eastAsia="宋体" w:cs="宋体"/>
          <w:color w:val="auto"/>
          <w:sz w:val="24"/>
          <w:szCs w:val="24"/>
          <w:highlight w:val="none"/>
          <w:u w:val="single"/>
        </w:rPr>
        <w:t xml:space="preserve">          （加盖公章）             </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    法定代表人（或授权代表）签字或盖章：</w:t>
      </w:r>
      <w:r>
        <w:rPr>
          <w:rFonts w:hint="eastAsia" w:ascii="宋体" w:hAnsi="宋体" w:eastAsia="宋体" w:cs="宋体"/>
          <w:color w:val="auto"/>
          <w:sz w:val="24"/>
          <w:szCs w:val="24"/>
          <w:highlight w:val="none"/>
          <w:u w:val="single"/>
        </w:rPr>
        <w:t xml:space="preserve">                 </w:t>
      </w:r>
    </w:p>
    <w:p>
      <w:pPr>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电话／传真：</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pStyle w:val="14"/>
        <w:rPr>
          <w:rFonts w:hint="eastAsia"/>
          <w:color w:val="auto"/>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附后：</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1、公司简介</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2、资格证明文件（均加盖报价供应商公章）</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1）合格有效的营业执照副本有效复印件；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）法定代表人对</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代表的授权委托书（原件）；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）法定代表人和</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代表身份证正反面有效复印件；</w:t>
      </w:r>
    </w:p>
    <w:p>
      <w:pPr>
        <w:spacing w:line="360" w:lineRule="auto"/>
        <w:ind w:firstLine="360" w:firstLineChars="15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）报价供应商须符合《中华人民共和国政府采购法》第二十二条规定条件且无行贿犯罪记录</w:t>
      </w:r>
      <w:r>
        <w:rPr>
          <w:rFonts w:hint="eastAsia" w:ascii="宋体" w:hAnsi="宋体" w:eastAsia="宋体" w:cs="宋体"/>
          <w:b/>
          <w:bCs/>
          <w:color w:val="auto"/>
          <w:sz w:val="24"/>
          <w:szCs w:val="24"/>
          <w:highlight w:val="none"/>
        </w:rPr>
        <w:t>（须提供相关证明文件或书面声明）</w:t>
      </w:r>
      <w:r>
        <w:rPr>
          <w:rFonts w:hint="eastAsia" w:ascii="宋体" w:hAnsi="宋体" w:cs="宋体"/>
          <w:color w:val="auto"/>
          <w:sz w:val="24"/>
          <w:szCs w:val="24"/>
          <w:highlight w:val="none"/>
          <w:lang w:eastAsia="zh-CN"/>
        </w:rPr>
        <w:t>。</w:t>
      </w:r>
    </w:p>
    <w:p>
      <w:pPr>
        <w:spacing w:line="360" w:lineRule="auto"/>
        <w:ind w:firstLine="360" w:firstLineChars="150"/>
        <w:rPr>
          <w:rFonts w:hint="eastAsia" w:ascii="宋体" w:hAnsi="宋体" w:eastAsia="宋体" w:cs="宋体"/>
          <w:color w:val="auto"/>
          <w:sz w:val="24"/>
          <w:szCs w:val="24"/>
          <w:highlight w:val="none"/>
        </w:rPr>
      </w:pPr>
      <w:r>
        <w:rPr>
          <w:rFonts w:hint="default" w:ascii="Arial" w:hAnsi="Arial" w:eastAsia="宋体" w:cs="Arial"/>
          <w:color w:val="auto"/>
          <w:sz w:val="24"/>
          <w:szCs w:val="24"/>
          <w:highlight w:val="none"/>
        </w:rPr>
        <w:t>…………………………</w:t>
      </w: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bookmarkEnd w:id="91"/>
    <w:bookmarkEnd w:id="92"/>
    <w:bookmarkEnd w:id="93"/>
    <w:bookmarkEnd w:id="94"/>
    <w:bookmarkEnd w:id="95"/>
    <w:bookmarkEnd w:id="96"/>
    <w:bookmarkEnd w:id="97"/>
    <w:p>
      <w:pPr>
        <w:spacing w:line="440" w:lineRule="exact"/>
        <w:outlineLvl w:val="9"/>
        <w:rPr>
          <w:rFonts w:hint="eastAsia" w:ascii="宋体" w:hAnsi="宋体" w:eastAsia="宋体" w:cs="宋体"/>
          <w:b/>
          <w:color w:val="auto"/>
          <w:sz w:val="28"/>
          <w:szCs w:val="28"/>
          <w:highlight w:val="none"/>
        </w:rPr>
      </w:pPr>
    </w:p>
    <w:p>
      <w:pPr>
        <w:spacing w:line="440" w:lineRule="exact"/>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 xml:space="preserve"> </w:t>
      </w:r>
      <w:bookmarkStart w:id="98" w:name="_Toc13141"/>
      <w:bookmarkStart w:id="99" w:name="_Toc30609"/>
      <w:bookmarkStart w:id="100" w:name="_Toc15327"/>
      <w:bookmarkStart w:id="101" w:name="_Toc4657"/>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5</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法定代表人授权书(原件)</w:t>
      </w:r>
      <w:bookmarkEnd w:id="98"/>
      <w:bookmarkEnd w:id="99"/>
      <w:bookmarkEnd w:id="100"/>
      <w:bookmarkEnd w:id="101"/>
    </w:p>
    <w:p>
      <w:pPr>
        <w:spacing w:line="440" w:lineRule="exact"/>
        <w:rPr>
          <w:rFonts w:hint="eastAsia" w:ascii="宋体" w:hAnsi="宋体" w:eastAsia="宋体" w:cs="宋体"/>
          <w:b/>
          <w:color w:val="auto"/>
          <w:sz w:val="28"/>
          <w:szCs w:val="28"/>
          <w:highlight w:val="none"/>
        </w:rPr>
      </w:pPr>
    </w:p>
    <w:p>
      <w:pPr>
        <w:spacing w:line="440" w:lineRule="exact"/>
        <w:rPr>
          <w:rFonts w:hint="eastAsia" w:ascii="宋体" w:hAnsi="宋体" w:eastAsia="宋体" w:cs="宋体"/>
          <w:b/>
          <w:color w:val="auto"/>
          <w:sz w:val="28"/>
          <w:szCs w:val="28"/>
          <w:highlight w:val="none"/>
        </w:rPr>
      </w:pPr>
    </w:p>
    <w:p>
      <w:pPr>
        <w:spacing w:line="360" w:lineRule="auto"/>
        <w:ind w:firstLine="480" w:firstLineChars="200"/>
        <w:rPr>
          <w:rFonts w:hint="eastAsia" w:ascii="宋体" w:hAnsi="宋体" w:eastAsia="宋体" w:cs="宋体"/>
          <w:b/>
          <w:color w:val="auto"/>
          <w:sz w:val="24"/>
          <w:szCs w:val="24"/>
          <w:highlight w:val="none"/>
          <w:u w:val="single"/>
        </w:rPr>
      </w:pPr>
      <w:r>
        <w:rPr>
          <w:rFonts w:hint="eastAsia" w:ascii="宋体" w:hAnsi="宋体" w:eastAsia="宋体" w:cs="宋体"/>
          <w:bCs/>
          <w:color w:val="auto"/>
          <w:sz w:val="24"/>
          <w:szCs w:val="24"/>
          <w:highlight w:val="none"/>
        </w:rPr>
        <w:t>兹有</w:t>
      </w:r>
      <w:r>
        <w:rPr>
          <w:rFonts w:hint="eastAsia" w:ascii="宋体" w:hAnsi="宋体" w:eastAsia="宋体" w:cs="宋体"/>
          <w:b/>
          <w:color w:val="auto"/>
          <w:sz w:val="24"/>
          <w:szCs w:val="24"/>
          <w:highlight w:val="none"/>
          <w:u w:val="single"/>
        </w:rPr>
        <w:t xml:space="preserve">                   </w:t>
      </w:r>
      <w:r>
        <w:rPr>
          <w:rFonts w:hint="eastAsia" w:ascii="宋体" w:hAnsi="宋体" w:eastAsia="宋体" w:cs="宋体"/>
          <w:bCs/>
          <w:color w:val="auto"/>
          <w:sz w:val="24"/>
          <w:szCs w:val="24"/>
          <w:highlight w:val="none"/>
        </w:rPr>
        <w:t>(报价供应商全称)</w:t>
      </w:r>
      <w:r>
        <w:rPr>
          <w:rFonts w:hint="eastAsia" w:ascii="宋体" w:hAnsi="宋体" w:eastAsia="宋体" w:cs="宋体"/>
          <w:color w:val="auto"/>
          <w:sz w:val="24"/>
          <w:szCs w:val="24"/>
          <w:highlight w:val="none"/>
        </w:rPr>
        <w:t>的</w:t>
      </w:r>
      <w:r>
        <w:rPr>
          <w:rFonts w:hint="eastAsia" w:ascii="宋体" w:hAnsi="宋体" w:eastAsia="宋体" w:cs="宋体"/>
          <w:bCs/>
          <w:color w:val="auto"/>
          <w:sz w:val="24"/>
          <w:szCs w:val="24"/>
          <w:highlight w:val="none"/>
        </w:rPr>
        <w:t>法定代表人</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highlight w:val="none"/>
        </w:rPr>
        <w:t>姓名）授权</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（被授权人姓名），为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采购编号）的报价代理人，以本公司名义处理一切与之有关的事宜。</w:t>
      </w:r>
    </w:p>
    <w:p>
      <w:pPr>
        <w:pStyle w:val="24"/>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本授权书仅对</w:t>
      </w:r>
      <w:r>
        <w:rPr>
          <w:rFonts w:hint="eastAsia" w:ascii="宋体" w:hAnsi="宋体" w:eastAsia="宋体" w:cs="宋体"/>
          <w:bCs/>
          <w:color w:val="auto"/>
          <w:sz w:val="24"/>
          <w:szCs w:val="24"/>
          <w:highlight w:val="none"/>
        </w:rPr>
        <w:t>该项目有效，</w:t>
      </w:r>
      <w:r>
        <w:rPr>
          <w:rFonts w:hint="eastAsia" w:ascii="宋体" w:hAnsi="宋体" w:eastAsia="宋体" w:cs="宋体"/>
          <w:color w:val="auto"/>
          <w:sz w:val="24"/>
          <w:szCs w:val="24"/>
          <w:highlight w:val="none"/>
        </w:rPr>
        <w:t>特此声明。</w:t>
      </w:r>
    </w:p>
    <w:p>
      <w:pPr>
        <w:pStyle w:val="24"/>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法定代表人</w:t>
      </w:r>
      <w:r>
        <w:rPr>
          <w:rFonts w:hint="eastAsia" w:ascii="宋体" w:hAnsi="宋体" w:eastAsia="宋体" w:cs="宋体"/>
          <w:color w:val="auto"/>
          <w:sz w:val="24"/>
          <w:szCs w:val="24"/>
          <w:highlight w:val="none"/>
        </w:rPr>
        <w:t>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24"/>
        <w:spacing w:line="360" w:lineRule="auto"/>
        <w:ind w:firstLine="480" w:firstLineChars="2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被授权人签字或盖章：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b/>
          <w:color w:val="auto"/>
          <w:sz w:val="24"/>
          <w:szCs w:val="24"/>
          <w:highlight w:val="none"/>
          <w:u w:val="single"/>
        </w:rPr>
      </w:pPr>
      <w:r>
        <w:rPr>
          <w:rFonts w:hint="eastAsia" w:ascii="宋体" w:hAnsi="宋体" w:eastAsia="宋体" w:cs="宋体"/>
          <w:color w:val="auto"/>
          <w:sz w:val="24"/>
          <w:szCs w:val="24"/>
          <w:highlight w:val="none"/>
        </w:rPr>
        <w:t>报价单位详细地址：</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邮编：</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E-mail:</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联系电话/传真号码：</w:t>
      </w:r>
      <w:r>
        <w:rPr>
          <w:rFonts w:hint="eastAsia" w:ascii="宋体" w:hAnsi="宋体" w:eastAsia="宋体" w:cs="宋体"/>
          <w:b/>
          <w:color w:val="auto"/>
          <w:sz w:val="24"/>
          <w:szCs w:val="24"/>
          <w:highlight w:val="none"/>
          <w:u w:val="single"/>
        </w:rPr>
        <w:t xml:space="preserve">                             </w:t>
      </w:r>
    </w:p>
    <w:p>
      <w:pPr>
        <w:spacing w:line="360" w:lineRule="auto"/>
        <w:rPr>
          <w:rFonts w:hint="eastAsia" w:ascii="宋体" w:hAnsi="宋体" w:eastAsia="宋体" w:cs="宋体"/>
          <w:b/>
          <w:color w:val="auto"/>
          <w:sz w:val="24"/>
          <w:szCs w:val="24"/>
          <w:highlight w:val="none"/>
        </w:rPr>
      </w:pPr>
    </w:p>
    <w:p>
      <w:pPr>
        <w:pStyle w:val="24"/>
        <w:spacing w:line="360" w:lineRule="auto"/>
        <w:ind w:right="560" w:firstLine="560"/>
        <w:jc w:val="center"/>
        <w:outlineLvl w:val="9"/>
        <w:rPr>
          <w:rFonts w:hint="eastAsia" w:ascii="宋体" w:hAnsi="宋体" w:eastAsia="宋体" w:cs="宋体"/>
          <w:color w:val="auto"/>
          <w:sz w:val="24"/>
          <w:szCs w:val="24"/>
          <w:highlight w:val="none"/>
        </w:rPr>
      </w:pPr>
    </w:p>
    <w:p>
      <w:pPr>
        <w:pStyle w:val="24"/>
        <w:spacing w:line="360" w:lineRule="auto"/>
        <w:ind w:right="560" w:firstLine="56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报价供应商全称（加盖公章）：</w:t>
      </w:r>
    </w:p>
    <w:p>
      <w:pPr>
        <w:spacing w:line="360" w:lineRule="auto"/>
        <w:ind w:firstLine="844" w:firstLineChars="352"/>
        <w:jc w:val="center"/>
        <w:outlineLvl w:val="9"/>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line="440" w:lineRule="exact"/>
        <w:outlineLvl w:val="9"/>
        <w:rPr>
          <w:rFonts w:hint="eastAsia" w:ascii="宋体" w:hAnsi="宋体" w:eastAsia="宋体" w:cs="宋体"/>
          <w:b/>
          <w:color w:val="auto"/>
          <w:sz w:val="28"/>
          <w:szCs w:val="28"/>
          <w:highlight w:val="none"/>
        </w:rPr>
      </w:pPr>
    </w:p>
    <w:p>
      <w:pPr>
        <w:spacing w:line="440" w:lineRule="exact"/>
        <w:outlineLvl w:val="9"/>
        <w:rPr>
          <w:rFonts w:hint="eastAsia" w:ascii="宋体" w:hAnsi="宋体" w:eastAsia="宋体" w:cs="宋体"/>
          <w:b/>
          <w:color w:val="auto"/>
          <w:sz w:val="28"/>
          <w:szCs w:val="28"/>
          <w:highlight w:val="none"/>
        </w:rPr>
      </w:pPr>
    </w:p>
    <w:p>
      <w:pPr>
        <w:spacing w:line="400" w:lineRule="exact"/>
        <w:jc w:val="center"/>
        <w:outlineLvl w:val="9"/>
        <w:rPr>
          <w:rFonts w:hint="eastAsia" w:ascii="黑体" w:eastAsia="黑体"/>
          <w:b/>
          <w:color w:val="auto"/>
          <w:sz w:val="24"/>
          <w:szCs w:val="24"/>
          <w:highlight w:val="none"/>
        </w:rPr>
      </w:pPr>
      <w:r>
        <w:rPr>
          <w:rFonts w:hint="eastAsia" w:ascii="黑体" w:eastAsia="黑体"/>
          <w:b/>
          <w:color w:val="auto"/>
          <w:sz w:val="24"/>
          <w:szCs w:val="24"/>
          <w:highlight w:val="none"/>
        </w:rPr>
        <w:t>（请附上法人代表及</w:t>
      </w:r>
      <w:r>
        <w:rPr>
          <w:rFonts w:hint="eastAsia" w:ascii="黑体" w:eastAsia="黑体"/>
          <w:b/>
          <w:color w:val="auto"/>
          <w:sz w:val="24"/>
          <w:szCs w:val="24"/>
          <w:highlight w:val="none"/>
          <w:lang w:eastAsia="zh-CN"/>
        </w:rPr>
        <w:t>报价</w:t>
      </w:r>
      <w:r>
        <w:rPr>
          <w:rFonts w:hint="eastAsia" w:ascii="黑体" w:eastAsia="黑体"/>
          <w:b/>
          <w:color w:val="auto"/>
          <w:sz w:val="24"/>
          <w:szCs w:val="24"/>
          <w:highlight w:val="none"/>
        </w:rPr>
        <w:t>代表身份证双面复印件）</w:t>
      </w:r>
    </w:p>
    <w:p>
      <w:pPr>
        <w:spacing w:line="440" w:lineRule="exact"/>
        <w:rPr>
          <w:rFonts w:hint="eastAsia" w:ascii="宋体" w:hAnsi="宋体" w:eastAsia="宋体" w:cs="宋体"/>
          <w:b/>
          <w:color w:val="auto"/>
          <w:sz w:val="28"/>
          <w:szCs w:val="28"/>
          <w:highlight w:val="none"/>
          <w:lang w:eastAsia="zh-CN"/>
        </w:rPr>
      </w:pPr>
    </w:p>
    <w:p>
      <w:pPr>
        <w:spacing w:line="440" w:lineRule="exact"/>
        <w:rPr>
          <w:rFonts w:hint="eastAsia" w:ascii="宋体" w:hAnsi="宋体" w:eastAsia="宋体" w:cs="宋体"/>
          <w:b/>
          <w:color w:val="auto"/>
          <w:sz w:val="28"/>
          <w:szCs w:val="28"/>
          <w:highlight w:val="none"/>
        </w:rPr>
      </w:pPr>
    </w:p>
    <w:p>
      <w:pPr>
        <w:pStyle w:val="16"/>
        <w:rPr>
          <w:rFonts w:hint="eastAsia" w:ascii="宋体" w:hAnsi="宋体" w:eastAsia="宋体" w:cs="宋体"/>
          <w:b/>
          <w:color w:val="auto"/>
          <w:sz w:val="28"/>
          <w:szCs w:val="28"/>
          <w:highlight w:val="none"/>
        </w:rPr>
      </w:pP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Pr>
        <w:spacing w:line="440" w:lineRule="exact"/>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6</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FF0000"/>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泉州师范学院（采购单位名称）      </w:t>
      </w:r>
    </w:p>
    <w:p>
      <w:pPr>
        <w:pStyle w:val="23"/>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FF0000"/>
          <w:sz w:val="24"/>
          <w:highlight w:val="none"/>
          <w:lang w:eastAsia="zh-CN"/>
        </w:rPr>
      </w:pPr>
      <w:r>
        <w:rPr>
          <w:rFonts w:hint="eastAsia" w:asciiTheme="minorEastAsia" w:hAnsiTheme="minorEastAsia" w:eastAsiaTheme="minorEastAsia" w:cstheme="minorEastAsia"/>
          <w:color w:val="FF0000"/>
          <w:sz w:val="24"/>
          <w:highlight w:val="none"/>
          <w:lang w:val="en-US" w:eastAsia="zh-CN"/>
        </w:rPr>
        <w:t>1、我公司</w:t>
      </w:r>
      <w:r>
        <w:rPr>
          <w:rFonts w:hint="eastAsia" w:asciiTheme="minorEastAsia" w:hAnsiTheme="minorEastAsia" w:eastAsiaTheme="minorEastAsia" w:cstheme="minorEastAsia"/>
          <w:color w:val="FF0000"/>
          <w:sz w:val="24"/>
          <w:highlight w:val="none"/>
        </w:rPr>
        <w:t>符合《中华人民共和国政府采购法》第二十二条规定条件且无行贿犯罪记录</w:t>
      </w:r>
      <w:r>
        <w:rPr>
          <w:rFonts w:hint="eastAsia" w:asciiTheme="minorEastAsia" w:hAnsiTheme="minorEastAsia" w:eastAsiaTheme="minorEastAsia" w:cstheme="minorEastAsia"/>
          <w:color w:val="FF0000"/>
          <w:sz w:val="24"/>
          <w:highlight w:val="none"/>
          <w:lang w:eastAsia="zh-CN"/>
        </w:rPr>
        <w:t>。</w:t>
      </w:r>
    </w:p>
    <w:p>
      <w:pPr>
        <w:pStyle w:val="23"/>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FF0000"/>
          <w:sz w:val="24"/>
          <w:highlight w:val="none"/>
          <w:lang w:val="en-US" w:eastAsia="zh-CN"/>
        </w:rPr>
      </w:pPr>
      <w:r>
        <w:rPr>
          <w:rFonts w:hint="eastAsia" w:asciiTheme="minorEastAsia" w:hAnsiTheme="minorEastAsia" w:eastAsiaTheme="minorEastAsia" w:cstheme="minorEastAsia"/>
          <w:color w:val="FF0000"/>
          <w:sz w:val="24"/>
          <w:highlight w:val="none"/>
          <w:lang w:val="en-US" w:eastAsia="zh-CN"/>
        </w:rPr>
        <w:t>特此声明！</w:t>
      </w:r>
    </w:p>
    <w:p>
      <w:pPr>
        <w:pStyle w:val="23"/>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FF0000"/>
          <w:sz w:val="24"/>
          <w:highlight w:val="none"/>
        </w:rPr>
      </w:pPr>
      <w:r>
        <w:rPr>
          <w:rFonts w:hint="eastAsia" w:asciiTheme="minorEastAsia" w:hAnsiTheme="minorEastAsia" w:eastAsiaTheme="minorEastAsia" w:cstheme="minorEastAsia"/>
          <w:color w:val="FF0000"/>
          <w:sz w:val="24"/>
          <w:highlight w:val="none"/>
          <w:lang w:val="en-US" w:eastAsia="zh-CN"/>
        </w:rPr>
        <w:t>2、我公司</w:t>
      </w:r>
      <w:r>
        <w:rPr>
          <w:rFonts w:hint="eastAsia" w:asciiTheme="minorEastAsia" w:hAnsiTheme="minorEastAsia" w:eastAsiaTheme="minorEastAsia" w:cstheme="minorEastAsia"/>
          <w:color w:val="FF0000"/>
          <w:sz w:val="24"/>
          <w:highlight w:val="none"/>
        </w:rPr>
        <w:t>参加采购活动前三年内，我方在经营活动中没有重大违法记录，即没有因违法经营受到刑事处罚或责令停产停业、吊销许可证或执照、较大数额罚款等行政处罚。否则产生不利后果由我</w:t>
      </w:r>
      <w:r>
        <w:rPr>
          <w:rFonts w:hint="eastAsia" w:asciiTheme="minorEastAsia" w:hAnsiTheme="minorEastAsia" w:eastAsiaTheme="minorEastAsia" w:cstheme="minorEastAsia"/>
          <w:color w:val="FF0000"/>
          <w:sz w:val="24"/>
          <w:highlight w:val="none"/>
          <w:lang w:val="en-US" w:eastAsia="zh-CN"/>
        </w:rPr>
        <w:t>公司</w:t>
      </w:r>
      <w:r>
        <w:rPr>
          <w:rFonts w:hint="eastAsia" w:asciiTheme="minorEastAsia" w:hAnsiTheme="minorEastAsia" w:eastAsiaTheme="minorEastAsia" w:cstheme="minorEastAsia"/>
          <w:color w:val="FF0000"/>
          <w:sz w:val="24"/>
          <w:highlight w:val="none"/>
        </w:rPr>
        <w:t>承担责任。</w:t>
      </w:r>
    </w:p>
    <w:p>
      <w:pPr>
        <w:pStyle w:val="13"/>
        <w:keepNext w:val="0"/>
        <w:keepLines w:val="0"/>
        <w:pageBreakBefore w:val="0"/>
        <w:widowControl/>
        <w:suppressLineNumbers w:val="0"/>
        <w:kinsoku/>
        <w:wordWrap/>
        <w:overflowPunct/>
        <w:topLinePunct w:val="0"/>
        <w:bidi w:val="0"/>
        <w:snapToGrid/>
        <w:spacing w:line="360" w:lineRule="auto"/>
        <w:ind w:left="0" w:firstLine="336"/>
        <w:textAlignment w:val="auto"/>
        <w:rPr>
          <w:rFonts w:hint="eastAsia" w:asciiTheme="minorEastAsia" w:hAnsiTheme="minorEastAsia" w:eastAsiaTheme="minorEastAsia" w:cstheme="minorEastAsia"/>
          <w:color w:val="FF0000"/>
          <w:kern w:val="0"/>
          <w:sz w:val="24"/>
          <w:szCs w:val="24"/>
          <w:highlight w:val="none"/>
          <w:lang w:val="en-US" w:eastAsia="zh-CN" w:bidi="ar-SA"/>
        </w:rPr>
      </w:pPr>
      <w:r>
        <w:rPr>
          <w:rFonts w:hint="eastAsia" w:asciiTheme="minorEastAsia" w:hAnsiTheme="minorEastAsia" w:eastAsiaTheme="minorEastAsia" w:cstheme="minorEastAsia"/>
          <w:color w:val="FF0000"/>
          <w:kern w:val="0"/>
          <w:sz w:val="24"/>
          <w:szCs w:val="24"/>
          <w:highlight w:val="none"/>
          <w:lang w:val="en-US" w:eastAsia="zh-CN" w:bidi="ar-SA"/>
        </w:rPr>
        <w:t>特此声明。</w:t>
      </w: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spacing w:line="440" w:lineRule="exact"/>
        <w:jc w:val="both"/>
        <w:outlineLvl w:val="0"/>
        <w:rPr>
          <w:rFonts w:hint="default"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7</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cs="宋体"/>
          <w:b/>
          <w:color w:val="auto"/>
          <w:sz w:val="28"/>
          <w:szCs w:val="28"/>
          <w:highlight w:val="none"/>
          <w:lang w:val="en-US" w:eastAsia="zh-CN"/>
        </w:rPr>
        <w:t xml:space="preserve">售后服务承诺 </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FF0000"/>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泉州师范学院（采购单位名称）      </w:t>
      </w: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sectPr>
      <w:footerReference r:id="rId7" w:type="first"/>
      <w:footerReference r:id="rId6" w:type="default"/>
      <w:pgSz w:w="11906" w:h="16838"/>
      <w:pgMar w:top="1134" w:right="1134" w:bottom="851" w:left="1247" w:header="567" w:footer="567" w:gutter="0"/>
      <w:pgBorders>
        <w:top w:val="none" w:sz="0" w:space="0"/>
        <w:left w:val="none" w:sz="0" w:space="0"/>
        <w:bottom w:val="none" w:sz="0" w:space="0"/>
        <w:right w:val="none" w:sz="0" w:space="0"/>
      </w:pgBorders>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楷体_GB2312">
    <w:panose1 w:val="02010609030101010101"/>
    <w:charset w:val="86"/>
    <w:family w:val="modern"/>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8"/>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9"/>
            <w:tabs>
              <w:tab w:val="clear" w:pos="4153"/>
              <w:tab w:val="clear" w:pos="8306"/>
            </w:tabs>
            <w:ind w:right="360"/>
            <w:jc w:val="both"/>
            <w:rPr>
              <w:rFonts w:hint="eastAsia" w:eastAsia="宋体"/>
              <w:lang w:val="en-US" w:eastAsia="zh-CN"/>
            </w:rPr>
          </w:pPr>
          <w:r>
            <w:rPr>
              <w:rFonts w:hint="eastAsia"/>
            </w:rPr>
            <w:t xml:space="preserve">福建诚信招标有限公司                          联系电话：0595-22507198、22507298                    </w:t>
          </w:r>
          <w:r>
            <w:rPr>
              <w:rFonts w:hint="eastAsia"/>
              <w:lang w:val="en-US" w:eastAsia="zh-CN"/>
            </w:rPr>
            <w:t xml:space="preserve"> </w:t>
          </w:r>
        </w:p>
      </w:tc>
    </w:tr>
  </w:tbl>
  <w:p>
    <w:pPr>
      <w:pStyle w:val="9"/>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21"/>
      </w:rPr>
    </w:pPr>
    <w:r>
      <w:fldChar w:fldCharType="begin"/>
    </w:r>
    <w:r>
      <w:rPr>
        <w:rStyle w:val="21"/>
      </w:rPr>
      <w:instrText xml:space="preserve">PAGE  </w:instrText>
    </w:r>
    <w: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8"/>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9"/>
            <w:tabs>
              <w:tab w:val="clear" w:pos="4153"/>
              <w:tab w:val="clear" w:pos="8306"/>
            </w:tabs>
            <w:ind w:right="360"/>
            <w:jc w:val="both"/>
            <w:rPr>
              <w:rFonts w:hint="default" w:eastAsia="宋体"/>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9"/>
                          </w:pPr>
                        </w:p>
                      </w:txbxContent>
                    </v:textbox>
                  </v:shape>
                </w:pict>
              </mc:Fallback>
            </mc:AlternateContent>
          </w:r>
        </w:p>
      </w:tc>
    </w:tr>
  </w:tbl>
  <w:p>
    <w:pPr>
      <w:pStyle w:val="9"/>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 w:val="clear" w:pos="8306"/>
      </w:tabs>
      <w:jc w:val="both"/>
      <w:rPr>
        <w:rFonts w:hint="eastAsia" w:eastAsia="宋体"/>
        <w:lang w:eastAsia="zh-CN"/>
      </w:rPr>
    </w:pPr>
    <w:r>
      <w:rPr>
        <w:rFonts w:hint="eastAsia"/>
      </w:rPr>
      <w:t xml:space="preserve">询价文件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6E3AE6"/>
    <w:multiLevelType w:val="singleLevel"/>
    <w:tmpl w:val="C66E3AE6"/>
    <w:lvl w:ilvl="0" w:tentative="0">
      <w:start w:val="1"/>
      <w:numFmt w:val="decimal"/>
      <w:lvlText w:val="%1."/>
      <w:lvlJc w:val="left"/>
      <w:pPr>
        <w:tabs>
          <w:tab w:val="left" w:pos="312"/>
        </w:tabs>
      </w:pPr>
    </w:lvl>
  </w:abstractNum>
  <w:abstractNum w:abstractNumId="1">
    <w:nsid w:val="0DF52E3E"/>
    <w:multiLevelType w:val="multilevel"/>
    <w:tmpl w:val="0DF52E3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90B75B1"/>
    <w:multiLevelType w:val="multilevel"/>
    <w:tmpl w:val="390B75B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45836CD"/>
    <w:multiLevelType w:val="multilevel"/>
    <w:tmpl w:val="445836C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FEA43C0"/>
    <w:multiLevelType w:val="multilevel"/>
    <w:tmpl w:val="6FEA43C0"/>
    <w:lvl w:ilvl="0" w:tentative="0">
      <w:start w:val="1"/>
      <w:numFmt w:val="decimal"/>
      <w:lvlText w:val="%1."/>
      <w:lvlJc w:val="left"/>
      <w:pPr>
        <w:ind w:left="420" w:hanging="420"/>
      </w:pPr>
      <w:rPr>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F7164E7"/>
    <w:multiLevelType w:val="multilevel"/>
    <w:tmpl w:val="7F7164E7"/>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5ZTJhYzM4OGI4YzQ3OWIyM2M3MzM0YzViYzI2MjQifQ=="/>
  </w:docVars>
  <w:rsids>
    <w:rsidRoot w:val="59835B2E"/>
    <w:rsid w:val="01B110AA"/>
    <w:rsid w:val="034E4A21"/>
    <w:rsid w:val="03A60EEC"/>
    <w:rsid w:val="049930DE"/>
    <w:rsid w:val="04E946B7"/>
    <w:rsid w:val="083B0126"/>
    <w:rsid w:val="0A40009F"/>
    <w:rsid w:val="0B8113E9"/>
    <w:rsid w:val="0D8B6C53"/>
    <w:rsid w:val="0D9B2419"/>
    <w:rsid w:val="0E8D13D6"/>
    <w:rsid w:val="0F44355D"/>
    <w:rsid w:val="115376E2"/>
    <w:rsid w:val="144E1A46"/>
    <w:rsid w:val="16F7028D"/>
    <w:rsid w:val="173A664E"/>
    <w:rsid w:val="1C4B3D8B"/>
    <w:rsid w:val="1D974856"/>
    <w:rsid w:val="1DD464FF"/>
    <w:rsid w:val="20711CD8"/>
    <w:rsid w:val="277F117F"/>
    <w:rsid w:val="29647709"/>
    <w:rsid w:val="299802D6"/>
    <w:rsid w:val="29AD768A"/>
    <w:rsid w:val="29F67720"/>
    <w:rsid w:val="2CEB06B4"/>
    <w:rsid w:val="30EC4E63"/>
    <w:rsid w:val="311E1522"/>
    <w:rsid w:val="32171E93"/>
    <w:rsid w:val="32FB2F01"/>
    <w:rsid w:val="33C33694"/>
    <w:rsid w:val="3643461A"/>
    <w:rsid w:val="38641F41"/>
    <w:rsid w:val="38BF6A16"/>
    <w:rsid w:val="3B1925BB"/>
    <w:rsid w:val="3B6C1D7D"/>
    <w:rsid w:val="3E002010"/>
    <w:rsid w:val="3F177E72"/>
    <w:rsid w:val="3F2E1764"/>
    <w:rsid w:val="451F1798"/>
    <w:rsid w:val="487A0303"/>
    <w:rsid w:val="4C1307C4"/>
    <w:rsid w:val="4C65575F"/>
    <w:rsid w:val="4C9808FB"/>
    <w:rsid w:val="4E487C6D"/>
    <w:rsid w:val="4F123E7A"/>
    <w:rsid w:val="502202B5"/>
    <w:rsid w:val="511C7B28"/>
    <w:rsid w:val="54B95421"/>
    <w:rsid w:val="55794C66"/>
    <w:rsid w:val="55CD64D1"/>
    <w:rsid w:val="55D751F9"/>
    <w:rsid w:val="59835B2E"/>
    <w:rsid w:val="59F14C22"/>
    <w:rsid w:val="5AE34496"/>
    <w:rsid w:val="5BF422D7"/>
    <w:rsid w:val="5D654BBF"/>
    <w:rsid w:val="5E661A86"/>
    <w:rsid w:val="607C050A"/>
    <w:rsid w:val="677F3E55"/>
    <w:rsid w:val="67F87BB6"/>
    <w:rsid w:val="68735896"/>
    <w:rsid w:val="69690D6B"/>
    <w:rsid w:val="699851AD"/>
    <w:rsid w:val="6B7D3D34"/>
    <w:rsid w:val="6D3F5C0C"/>
    <w:rsid w:val="6E9A7D81"/>
    <w:rsid w:val="700A1166"/>
    <w:rsid w:val="718F5027"/>
    <w:rsid w:val="726C6FA6"/>
    <w:rsid w:val="731E2BC7"/>
    <w:rsid w:val="736C78EA"/>
    <w:rsid w:val="73D2014D"/>
    <w:rsid w:val="780B365B"/>
    <w:rsid w:val="7AFE4400"/>
    <w:rsid w:val="7C5E5F96"/>
    <w:rsid w:val="7CA02D78"/>
    <w:rsid w:val="7D4C01C7"/>
    <w:rsid w:val="7D7944A4"/>
    <w:rsid w:val="7EF95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黑体"/>
      <w:b/>
      <w:bCs/>
      <w:kern w:val="44"/>
      <w:sz w:val="32"/>
      <w:szCs w:val="44"/>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9">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annotation text"/>
    <w:basedOn w:val="1"/>
    <w:qFormat/>
    <w:uiPriority w:val="0"/>
    <w:pPr>
      <w:jc w:val="left"/>
    </w:pPr>
  </w:style>
  <w:style w:type="paragraph" w:styleId="6">
    <w:name w:val="Body Text"/>
    <w:basedOn w:val="1"/>
    <w:autoRedefine/>
    <w:qFormat/>
    <w:uiPriority w:val="0"/>
    <w:pPr>
      <w:spacing w:after="120"/>
    </w:pPr>
    <w:rPr>
      <w:rFonts w:ascii="Calibri" w:hAnsi="Calibri" w:cs="Times New Roman"/>
    </w:rPr>
  </w:style>
  <w:style w:type="paragraph" w:styleId="7">
    <w:name w:val="Body Text Indent"/>
    <w:basedOn w:val="1"/>
    <w:qFormat/>
    <w:uiPriority w:val="0"/>
    <w:pPr>
      <w:ind w:firstLine="560" w:firstLineChars="200"/>
    </w:pPr>
    <w:rPr>
      <w:rFonts w:ascii="宋体" w:hAnsi="宋体"/>
      <w:sz w:val="28"/>
    </w:rPr>
  </w:style>
  <w:style w:type="paragraph" w:styleId="8">
    <w:name w:val="Date"/>
    <w:basedOn w:val="1"/>
    <w:next w:val="1"/>
    <w:autoRedefine/>
    <w:qFormat/>
    <w:uiPriority w:val="0"/>
    <w:rPr>
      <w:sz w:val="28"/>
      <w:szCs w:val="20"/>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autoRedefine/>
    <w:qFormat/>
    <w:uiPriority w:val="39"/>
    <w:pPr>
      <w:tabs>
        <w:tab w:val="right" w:leader="middleDot" w:pos="9515"/>
      </w:tabs>
      <w:spacing w:before="120" w:after="120" w:line="260" w:lineRule="exact"/>
      <w:ind w:firstLine="359" w:firstLineChars="179"/>
      <w:jc w:val="left"/>
    </w:pPr>
    <w:rPr>
      <w:b/>
      <w:bCs/>
      <w:caps/>
      <w:sz w:val="20"/>
      <w:szCs w:val="20"/>
    </w:rPr>
  </w:style>
  <w:style w:type="paragraph" w:styleId="12">
    <w:name w:val="toc 2"/>
    <w:basedOn w:val="1"/>
    <w:next w:val="1"/>
    <w:autoRedefine/>
    <w:qFormat/>
    <w:uiPriority w:val="0"/>
    <w:pPr>
      <w:ind w:left="420" w:leftChars="200"/>
    </w:pPr>
  </w:style>
  <w:style w:type="paragraph" w:styleId="13">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4">
    <w:name w:val="Title"/>
    <w:basedOn w:val="1"/>
    <w:next w:val="1"/>
    <w:autoRedefine/>
    <w:qFormat/>
    <w:uiPriority w:val="0"/>
    <w:pPr>
      <w:jc w:val="center"/>
    </w:pPr>
    <w:rPr>
      <w:rFonts w:ascii="Arial Black" w:hAnsi="Arial Black" w:cs="Arial Black"/>
      <w:i/>
      <w:iCs/>
      <w:kern w:val="2"/>
      <w:sz w:val="48"/>
      <w:szCs w:val="48"/>
    </w:rPr>
  </w:style>
  <w:style w:type="paragraph" w:styleId="15">
    <w:name w:val="annotation subject"/>
    <w:basedOn w:val="5"/>
    <w:next w:val="5"/>
    <w:qFormat/>
    <w:uiPriority w:val="0"/>
    <w:rPr>
      <w:rFonts w:ascii="宋体" w:hAnsi="Courier New"/>
      <w:szCs w:val="20"/>
    </w:rPr>
  </w:style>
  <w:style w:type="paragraph" w:styleId="16">
    <w:name w:val="Body Text First Indent"/>
    <w:basedOn w:val="6"/>
    <w:autoRedefine/>
    <w:unhideWhenUsed/>
    <w:qFormat/>
    <w:uiPriority w:val="0"/>
    <w:pPr>
      <w:ind w:firstLine="420" w:firstLineChars="100"/>
    </w:pPr>
  </w:style>
  <w:style w:type="paragraph" w:styleId="17">
    <w:name w:val="Body Text First Indent 2"/>
    <w:basedOn w:val="7"/>
    <w:autoRedefine/>
    <w:qFormat/>
    <w:uiPriority w:val="0"/>
    <w:pPr>
      <w:spacing w:beforeLines="50" w:afterLines="50" w:line="360" w:lineRule="auto"/>
      <w:ind w:left="480" w:firstLine="360"/>
      <w:jc w:val="left"/>
    </w:pPr>
    <w:rPr>
      <w:rFonts w:ascii="Times New Roman" w:hAnsi="Times New Roman"/>
      <w:sz w:val="24"/>
    </w:rPr>
  </w:style>
  <w:style w:type="character" w:styleId="20">
    <w:name w:val="Strong"/>
    <w:basedOn w:val="19"/>
    <w:autoRedefine/>
    <w:qFormat/>
    <w:uiPriority w:val="0"/>
    <w:rPr>
      <w:b/>
    </w:rPr>
  </w:style>
  <w:style w:type="character" w:styleId="21">
    <w:name w:val="page number"/>
    <w:autoRedefine/>
    <w:qFormat/>
    <w:uiPriority w:val="0"/>
  </w:style>
  <w:style w:type="character" w:styleId="22">
    <w:name w:val="Hyperlink"/>
    <w:qFormat/>
    <w:uiPriority w:val="99"/>
    <w:rPr>
      <w:color w:val="0000FF"/>
      <w:u w:val="single"/>
    </w:rPr>
  </w:style>
  <w:style w:type="paragraph" w:customStyle="1" w:styleId="23">
    <w:name w:val="Default"/>
    <w:autoRedefine/>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24">
    <w:name w:val="ptdl"/>
    <w:basedOn w:val="1"/>
    <w:autoRedefine/>
    <w:qFormat/>
    <w:uiPriority w:val="0"/>
    <w:pPr>
      <w:spacing w:after="156"/>
      <w:ind w:firstLine="480"/>
    </w:pPr>
    <w:rPr>
      <w:sz w:val="24"/>
      <w:szCs w:val="20"/>
    </w:rPr>
  </w:style>
  <w:style w:type="paragraph" w:customStyle="1" w:styleId="25">
    <w:name w:val="WPSOffice手动目录 1"/>
    <w:autoRedefine/>
    <w:qFormat/>
    <w:uiPriority w:val="0"/>
    <w:pPr>
      <w:ind w:leftChars="0"/>
    </w:pPr>
    <w:rPr>
      <w:rFonts w:ascii="Times New Roman" w:hAnsi="Times New Roman" w:eastAsia="宋体" w:cs="Times New Roman"/>
      <w:sz w:val="20"/>
      <w:szCs w:val="20"/>
    </w:rPr>
  </w:style>
  <w:style w:type="paragraph" w:customStyle="1" w:styleId="26">
    <w:name w:val="WPSOffice手动目录 2"/>
    <w:autoRedefine/>
    <w:qFormat/>
    <w:uiPriority w:val="0"/>
    <w:pPr>
      <w:ind w:leftChars="200"/>
    </w:pPr>
    <w:rPr>
      <w:rFonts w:ascii="Times New Roman" w:hAnsi="Times New Roman" w:eastAsia="宋体" w:cs="Times New Roman"/>
      <w:sz w:val="20"/>
      <w:szCs w:val="20"/>
    </w:rPr>
  </w:style>
  <w:style w:type="paragraph" w:styleId="27">
    <w:name w:val="List Paragraph"/>
    <w:basedOn w:val="1"/>
    <w:autoRedefine/>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6093</Words>
  <Characters>6168</Characters>
  <Lines>0</Lines>
  <Paragraphs>0</Paragraphs>
  <TotalTime>1</TotalTime>
  <ScaleCrop>false</ScaleCrop>
  <LinksUpToDate>false</LinksUpToDate>
  <CharactersWithSpaces>7789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2021-07-12T06:55:00Z</dcterms:created>
  <dc:creator>搁浅</dc:creator>
  <cp:lastModifiedBy>Prophet1415716926</cp:lastModifiedBy>
  <cp:lastPrinted>2021-11-24T07:21:00Z</cp:lastPrinted>
  <dcterms:modified xsi:type="dcterms:W3CDTF">2024-04-02T11:49:37Z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A994EE9157374003975F7210D86E2616_13</vt:lpwstr>
  </property>
</Properties>
</file>