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114300" distR="114300">
            <wp:extent cx="3078480" cy="92265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078480" cy="922655"/>
                    </a:xfrm>
                    <a:prstGeom prst="rect">
                      <a:avLst/>
                    </a:prstGeom>
                    <a:noFill/>
                    <a:ln>
                      <a:noFill/>
                    </a:ln>
                  </pic:spPr>
                </pic:pic>
              </a:graphicData>
            </a:graphic>
          </wp:inline>
        </w:drawing>
      </w:r>
    </w:p>
    <w:p>
      <w:pPr>
        <w:jc w:val="both"/>
        <w:rPr>
          <w:rFonts w:hint="eastAsia" w:ascii="仿宋_GB2312" w:hAnsi="仿宋_GB2312" w:eastAsia="仿宋_GB2312" w:cs="仿宋_GB2312"/>
          <w:b/>
          <w:bCs/>
          <w:color w:val="auto"/>
          <w:sz w:val="28"/>
          <w:szCs w:val="28"/>
          <w:lang w:val="en-US" w:eastAsia="zh-CN"/>
        </w:rPr>
      </w:pPr>
    </w:p>
    <w:p>
      <w:pPr>
        <w:jc w:val="center"/>
        <w:rPr>
          <w:rFonts w:hint="eastAsia" w:ascii="宋体" w:hAnsi="宋体" w:eastAsia="宋体" w:cs="宋体"/>
          <w:b/>
          <w:bCs/>
          <w:color w:val="auto"/>
          <w:sz w:val="72"/>
          <w:szCs w:val="72"/>
          <w:lang w:val="en-US" w:eastAsia="zh-CN"/>
        </w:rPr>
      </w:pPr>
    </w:p>
    <w:p>
      <w:pPr>
        <w:jc w:val="center"/>
        <w:rPr>
          <w:rFonts w:hint="eastAsia"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lang w:val="en-US" w:eastAsia="zh-CN"/>
        </w:rPr>
        <w:t>采购需求和</w:t>
      </w:r>
      <w:r>
        <w:rPr>
          <w:rFonts w:hint="eastAsia" w:ascii="方正小标宋简体" w:hAnsi="方正小标宋简体" w:eastAsia="方正小标宋简体" w:cs="宋体"/>
          <w:sz w:val="72"/>
          <w:szCs w:val="72"/>
        </w:rPr>
        <w:t>采购项目</w:t>
      </w:r>
    </w:p>
    <w:p>
      <w:pPr>
        <w:jc w:val="center"/>
        <w:rPr>
          <w:rFonts w:hint="eastAsia"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实施计划</w:t>
      </w:r>
    </w:p>
    <w:p>
      <w:pPr>
        <w:jc w:val="center"/>
        <w:rPr>
          <w:rFonts w:hint="eastAsia" w:ascii="仿宋_GB2312" w:hAnsi="仿宋_GB2312" w:eastAsia="仿宋_GB2312" w:cs="仿宋_GB2312"/>
          <w:color w:val="auto"/>
          <w:sz w:val="28"/>
          <w:szCs w:val="28"/>
        </w:rPr>
      </w:pPr>
    </w:p>
    <w:p>
      <w:pPr>
        <w:pStyle w:val="10"/>
        <w:rPr>
          <w:rFonts w:hint="eastAsia" w:ascii="仿宋_GB2312" w:hAnsi="仿宋_GB2312" w:eastAsia="仿宋_GB2312" w:cs="仿宋_GB2312"/>
          <w:color w:val="auto"/>
          <w:sz w:val="28"/>
          <w:szCs w:val="28"/>
        </w:rPr>
      </w:pPr>
    </w:p>
    <w:p>
      <w:pPr>
        <w:pStyle w:val="10"/>
        <w:rPr>
          <w:rFonts w:hint="eastAsia" w:ascii="仿宋_GB2312" w:hAnsi="仿宋_GB2312" w:eastAsia="仿宋_GB2312" w:cs="仿宋_GB2312"/>
          <w:color w:val="auto"/>
          <w:sz w:val="28"/>
          <w:szCs w:val="28"/>
        </w:rPr>
      </w:pPr>
    </w:p>
    <w:p>
      <w:pPr>
        <w:pStyle w:val="10"/>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cs="宋体"/>
          <w:b/>
          <w:bCs/>
          <w:color w:val="auto"/>
          <w:sz w:val="36"/>
          <w:szCs w:val="36"/>
          <w:lang w:eastAsia="zh-CN"/>
        </w:rPr>
        <w:t>采购</w:t>
      </w: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lang w:val="en-US" w:eastAsia="zh-CN"/>
        </w:rPr>
        <w:t>需求</w:t>
      </w:r>
      <w:r>
        <w:rPr>
          <w:rFonts w:hint="eastAsia" w:ascii="宋体" w:hAnsi="宋体" w:eastAsia="宋体" w:cs="宋体"/>
          <w:b/>
          <w:bCs/>
          <w:color w:val="auto"/>
          <w:sz w:val="36"/>
          <w:szCs w:val="36"/>
        </w:rPr>
        <w:t>单位：</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rPr>
        <w:t>编制单位：</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sz w:val="36"/>
          <w:szCs w:val="36"/>
          <w:u w:val="single"/>
          <w:lang w:val="en-US" w:eastAsia="zh-CN"/>
        </w:rPr>
      </w:pPr>
      <w:r>
        <w:rPr>
          <w:rFonts w:hint="eastAsia" w:ascii="宋体" w:hAnsi="宋体" w:eastAsia="宋体" w:cs="宋体"/>
          <w:b/>
          <w:bCs/>
          <w:color w:val="auto"/>
          <w:sz w:val="36"/>
          <w:szCs w:val="36"/>
        </w:rPr>
        <w:t>编制时间：</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pPr>
        <w:spacing w:line="560" w:lineRule="exact"/>
        <w:rPr>
          <w:rFonts w:hint="eastAsia" w:ascii="宋体" w:hAnsi="宋体" w:eastAsia="宋体" w:cs="宋体"/>
          <w:b/>
          <w:bCs/>
          <w:color w:val="auto"/>
          <w:sz w:val="36"/>
          <w:szCs w:val="36"/>
        </w:rPr>
        <w:sectPr>
          <w:footerReference r:id="rId3" w:type="default"/>
          <w:pgSz w:w="11906" w:h="16838"/>
          <w:pgMar w:top="1440" w:right="1800" w:bottom="1440" w:left="1800" w:header="851" w:footer="992" w:gutter="0"/>
          <w:cols w:space="425" w:num="1"/>
          <w:docGrid w:type="lines" w:linePitch="312" w:charSpace="0"/>
        </w:sectPr>
      </w:pP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一、采购项目概况及</w:t>
      </w:r>
      <w:r>
        <w:rPr>
          <w:rFonts w:hint="eastAsia" w:ascii="黑体" w:hAnsi="黑体" w:eastAsia="黑体" w:cs="黑体"/>
          <w:b/>
          <w:bCs/>
          <w:color w:val="auto"/>
          <w:sz w:val="30"/>
          <w:szCs w:val="30"/>
        </w:rPr>
        <w:t>采购的必要性</w:t>
      </w:r>
    </w:p>
    <w:p>
      <w:pPr>
        <w:spacing w:line="560" w:lineRule="exact"/>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填写说明：采购货物或服务及用途简介。</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二、采购项目预算、最高限价</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b/>
          <w:bCs/>
          <w:color w:val="auto"/>
          <w:sz w:val="28"/>
          <w:szCs w:val="28"/>
        </w:rPr>
      </w:pP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三、采购项目技术要求和商务要求</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eastAsia" w:ascii="仿宋_GB2312" w:hAnsi="仿宋_GB2312" w:eastAsia="仿宋_GB2312" w:cs="仿宋_GB2312"/>
          <w:color w:val="auto"/>
          <w:kern w:val="0"/>
          <w:sz w:val="28"/>
          <w:szCs w:val="28"/>
          <w:shd w:val="clear" w:color="auto" w:fill="FFFFFF"/>
          <w:lang w:val="en-US" w:eastAsia="zh-CN" w:bidi="ar-SA"/>
        </w:rPr>
      </w:pPr>
      <w:r>
        <w:rPr>
          <w:rFonts w:hint="eastAsia" w:ascii="仿宋_GB2312" w:hAnsi="仿宋_GB2312" w:eastAsia="仿宋_GB2312" w:cs="仿宋_GB2312"/>
          <w:color w:val="auto"/>
          <w:kern w:val="0"/>
          <w:sz w:val="28"/>
          <w:szCs w:val="28"/>
          <w:shd w:val="clear" w:color="auto" w:fill="FFFFFF"/>
          <w:lang w:val="en-US" w:eastAsia="zh-CN" w:bidi="ar-SA"/>
        </w:rPr>
        <w:t>填写说明：</w:t>
      </w:r>
      <w:r>
        <w:rPr>
          <w:rFonts w:hint="eastAsia" w:ascii="仿宋_GB2312" w:hAnsi="仿宋_GB2312" w:eastAsia="仿宋_GB2312" w:cs="仿宋_GB2312"/>
          <w:color w:val="auto"/>
          <w:kern w:val="0"/>
          <w:sz w:val="28"/>
          <w:szCs w:val="28"/>
          <w:shd w:val="clear" w:color="auto" w:fill="FFFFFF"/>
          <w:lang w:val="en-US" w:eastAsia="zh-CN" w:bidi="ar-SA"/>
        </w:rPr>
        <w:t>采购项目技术要求和商务要求不得出现《泉州市财政局关于进一步完善泉州市政府采购负面清单的通知》（泉财采〔2022〕125号）中列举的问题。</w:t>
      </w:r>
    </w:p>
    <w:p>
      <w:pPr>
        <w:keepNext w:val="0"/>
        <w:keepLines w:val="0"/>
        <w:pageBreakBefore w:val="0"/>
        <w:widowControl/>
        <w:kinsoku/>
        <w:wordWrap/>
        <w:overflowPunct/>
        <w:topLinePunct w:val="0"/>
        <w:autoSpaceDE/>
        <w:autoSpaceDN/>
        <w:bidi w:val="0"/>
        <w:snapToGrid w:val="0"/>
        <w:spacing w:line="560" w:lineRule="exact"/>
        <w:ind w:firstLine="562" w:firstLineChars="200"/>
        <w:jc w:val="left"/>
        <w:textAlignment w:val="auto"/>
        <w:rPr>
          <w:rFonts w:hint="eastAsia" w:ascii="仿宋_GB2312" w:hAnsi="仿宋_GB2312" w:eastAsia="仿宋_GB2312" w:cs="仿宋_GB2312"/>
          <w:b/>
          <w:bCs/>
          <w:color w:val="auto"/>
          <w:kern w:val="0"/>
          <w:sz w:val="28"/>
          <w:szCs w:val="28"/>
          <w:shd w:val="clear" w:color="auto" w:fill="FFFFFF"/>
          <w:lang w:val="en-US" w:eastAsia="zh-CN" w:bidi="ar-SA"/>
        </w:rPr>
      </w:pPr>
      <w:r>
        <w:rPr>
          <w:rFonts w:hint="default" w:ascii="仿宋_GB2312" w:hAnsi="仿宋_GB2312" w:eastAsia="仿宋_GB2312" w:cs="仿宋_GB2312"/>
          <w:b/>
          <w:bCs/>
          <w:color w:val="auto"/>
          <w:kern w:val="0"/>
          <w:sz w:val="28"/>
          <w:szCs w:val="28"/>
          <w:shd w:val="clear" w:color="auto" w:fill="FFFFFF"/>
          <w:lang w:val="en-US" w:eastAsia="zh-CN" w:bidi="ar-SA"/>
        </w:rPr>
        <w:t>（一）</w:t>
      </w:r>
      <w:r>
        <w:rPr>
          <w:rFonts w:hint="eastAsia" w:ascii="仿宋_GB2312" w:hAnsi="仿宋_GB2312" w:eastAsia="仿宋_GB2312" w:cs="仿宋_GB2312"/>
          <w:b/>
          <w:bCs/>
          <w:color w:val="auto"/>
          <w:kern w:val="0"/>
          <w:sz w:val="28"/>
          <w:szCs w:val="28"/>
          <w:shd w:val="clear" w:color="auto" w:fill="FFFFFF"/>
          <w:lang w:val="en-US" w:eastAsia="zh-CN" w:bidi="ar-SA"/>
        </w:rPr>
        <w:t>技术要求（可另附）</w:t>
      </w:r>
    </w:p>
    <w:p>
      <w:pPr>
        <w:keepNext w:val="0"/>
        <w:keepLines w:val="0"/>
        <w:pageBreakBefore w:val="0"/>
        <w:widowControl/>
        <w:kinsoku/>
        <w:wordWrap/>
        <w:overflowPunct/>
        <w:topLinePunct w:val="0"/>
        <w:autoSpaceDE/>
        <w:autoSpaceDN/>
        <w:bidi w:val="0"/>
        <w:snapToGrid w:val="0"/>
        <w:spacing w:line="560" w:lineRule="exact"/>
        <w:ind w:firstLine="562" w:firstLineChars="200"/>
        <w:jc w:val="left"/>
        <w:textAlignment w:val="auto"/>
        <w:rPr>
          <w:rFonts w:hint="eastAsia" w:ascii="仿宋_GB2312" w:hAnsi="仿宋_GB2312" w:eastAsia="仿宋_GB2312" w:cs="仿宋_GB2312"/>
          <w:b/>
          <w:bCs/>
          <w:color w:val="auto"/>
          <w:kern w:val="0"/>
          <w:sz w:val="28"/>
          <w:szCs w:val="28"/>
          <w:shd w:val="clear" w:color="auto" w:fill="FFFFFF"/>
          <w:lang w:val="en-US" w:eastAsia="zh-CN" w:bidi="ar-SA"/>
        </w:rPr>
      </w:pPr>
      <w:r>
        <w:rPr>
          <w:rFonts w:hint="default" w:ascii="仿宋_GB2312" w:hAnsi="仿宋_GB2312" w:eastAsia="仿宋_GB2312" w:cs="仿宋_GB2312"/>
          <w:b/>
          <w:bCs/>
          <w:color w:val="auto"/>
          <w:kern w:val="0"/>
          <w:sz w:val="28"/>
          <w:szCs w:val="28"/>
          <w:shd w:val="clear" w:color="auto" w:fill="FFFFFF"/>
          <w:lang w:val="en-US" w:eastAsia="zh-CN" w:bidi="ar-SA"/>
        </w:rPr>
        <w:t>（二）</w:t>
      </w:r>
      <w:r>
        <w:rPr>
          <w:rFonts w:hint="eastAsia" w:ascii="仿宋_GB2312" w:hAnsi="仿宋_GB2312" w:eastAsia="仿宋_GB2312" w:cs="仿宋_GB2312"/>
          <w:b/>
          <w:bCs/>
          <w:color w:val="auto"/>
          <w:kern w:val="0"/>
          <w:sz w:val="28"/>
          <w:szCs w:val="28"/>
          <w:shd w:val="clear" w:color="auto" w:fill="FFFFFF"/>
          <w:lang w:val="en-US" w:eastAsia="zh-CN" w:bidi="ar-SA"/>
        </w:rPr>
        <w:t>商务要求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lang w:val="en-US" w:eastAsia="zh-CN"/>
        </w:rPr>
        <w:t>1.</w:t>
      </w:r>
      <w:r>
        <w:rPr>
          <w:rFonts w:hint="eastAsia" w:ascii="楷体" w:hAnsi="楷体" w:eastAsia="楷体" w:cs="楷体"/>
          <w:b w:val="0"/>
          <w:bCs w:val="0"/>
          <w:color w:val="000000"/>
          <w:sz w:val="28"/>
          <w:szCs w:val="28"/>
        </w:rPr>
        <w:t>售后服务要求</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default" w:ascii="仿宋_GB2312" w:hAnsi="仿宋_GB2312" w:eastAsia="仿宋_GB2312" w:cs="仿宋_GB2312"/>
          <w:color w:val="auto"/>
          <w:kern w:val="0"/>
          <w:sz w:val="28"/>
          <w:szCs w:val="28"/>
          <w:shd w:val="clear" w:color="auto" w:fill="FFFFFF"/>
          <w:lang w:val="en-US" w:eastAsia="zh-CN" w:bidi="ar-SA"/>
        </w:rPr>
      </w:pP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1</w:t>
      </w:r>
      <w:r>
        <w:rPr>
          <w:rFonts w:hint="default" w:ascii="仿宋_GB2312" w:hAnsi="仿宋_GB2312" w:eastAsia="仿宋_GB2312" w:cs="仿宋_GB2312"/>
          <w:color w:val="auto"/>
          <w:kern w:val="0"/>
          <w:sz w:val="28"/>
          <w:szCs w:val="28"/>
          <w:shd w:val="clear" w:color="auto" w:fill="FFFFFF"/>
          <w:lang w:val="en-US" w:eastAsia="zh-CN" w:bidi="ar-SA"/>
        </w:rPr>
        <w:t>）投标人对提供的货物或服务，因产品及服务质量、或知识产权纠纷等问题，必须提供保修、包换、包退等服务。</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default" w:ascii="仿宋_GB2312" w:hAnsi="仿宋_GB2312" w:eastAsia="仿宋_GB2312" w:cs="仿宋_GB2312"/>
          <w:color w:val="auto"/>
          <w:kern w:val="0"/>
          <w:sz w:val="28"/>
          <w:szCs w:val="28"/>
          <w:shd w:val="clear" w:color="auto" w:fill="FFFFFF"/>
          <w:lang w:val="en-US" w:eastAsia="zh-CN" w:bidi="ar-SA"/>
        </w:rPr>
      </w:pP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2</w:t>
      </w:r>
      <w:r>
        <w:rPr>
          <w:rFonts w:hint="default" w:ascii="仿宋_GB2312" w:hAnsi="仿宋_GB2312" w:eastAsia="仿宋_GB2312" w:cs="仿宋_GB2312"/>
          <w:color w:val="auto"/>
          <w:kern w:val="0"/>
          <w:sz w:val="28"/>
          <w:szCs w:val="28"/>
          <w:shd w:val="clear" w:color="auto" w:fill="FFFFFF"/>
          <w:lang w:val="en-US" w:eastAsia="zh-CN" w:bidi="ar-SA"/>
        </w:rPr>
        <w:t>）货物安装调试合格后，投标人负责对采购人技术人员进行免费现场培训，培训内容包括系统的功能、原理、使用与维护等，培训日程视实际情况另定。</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default" w:ascii="仿宋_GB2312" w:hAnsi="仿宋_GB2312" w:eastAsia="仿宋_GB2312" w:cs="仿宋_GB2312"/>
          <w:color w:val="auto"/>
          <w:kern w:val="0"/>
          <w:sz w:val="28"/>
          <w:szCs w:val="28"/>
          <w:shd w:val="clear" w:color="auto" w:fill="FFFFFF"/>
          <w:lang w:val="en-US" w:eastAsia="zh-CN" w:bidi="ar-SA"/>
        </w:rPr>
      </w:pP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3</w:t>
      </w:r>
      <w:r>
        <w:rPr>
          <w:rFonts w:hint="default" w:ascii="仿宋_GB2312" w:hAnsi="仿宋_GB2312" w:eastAsia="仿宋_GB2312" w:cs="仿宋_GB2312"/>
          <w:color w:val="auto"/>
          <w:kern w:val="0"/>
          <w:sz w:val="28"/>
          <w:szCs w:val="28"/>
          <w:shd w:val="clear" w:color="auto" w:fill="FFFFFF"/>
          <w:lang w:val="en-US" w:eastAsia="zh-CN" w:bidi="ar-SA"/>
        </w:rPr>
        <w:t>）质保期：投标人所供货物质保期自最终验收合格之日起开始计算，投标人需保证免费质保期至少为</w:t>
      </w:r>
      <w:r>
        <w:rPr>
          <w:rFonts w:hint="eastAsia" w:ascii="仿宋_GB2312" w:hAnsi="仿宋_GB2312" w:eastAsia="仿宋_GB2312" w:cs="仿宋_GB2312"/>
          <w:color w:val="FF0000"/>
          <w:kern w:val="0"/>
          <w:sz w:val="28"/>
          <w:szCs w:val="28"/>
          <w:u w:val="none"/>
          <w:shd w:val="clear" w:color="auto" w:fill="FFFFFF"/>
          <w:lang w:val="en-US" w:eastAsia="zh-CN" w:bidi="ar-SA"/>
        </w:rPr>
        <w:t xml:space="preserve"> 12 </w:t>
      </w:r>
      <w:r>
        <w:rPr>
          <w:rFonts w:hint="default" w:ascii="仿宋_GB2312" w:hAnsi="仿宋_GB2312" w:eastAsia="仿宋_GB2312" w:cs="仿宋_GB2312"/>
          <w:color w:val="FF0000"/>
          <w:kern w:val="0"/>
          <w:sz w:val="28"/>
          <w:szCs w:val="28"/>
          <w:u w:val="none"/>
          <w:shd w:val="clear" w:color="auto" w:fill="FFFFFF"/>
          <w:lang w:val="en-US" w:eastAsia="zh-CN" w:bidi="ar-SA"/>
        </w:rPr>
        <w:t>个月</w:t>
      </w:r>
      <w:r>
        <w:rPr>
          <w:rFonts w:hint="default" w:ascii="仿宋_GB2312" w:hAnsi="仿宋_GB2312" w:eastAsia="仿宋_GB2312" w:cs="仿宋_GB2312"/>
          <w:color w:val="auto"/>
          <w:kern w:val="0"/>
          <w:sz w:val="28"/>
          <w:szCs w:val="28"/>
          <w:shd w:val="clear" w:color="auto" w:fill="FFFFFF"/>
          <w:lang w:val="en-US" w:eastAsia="zh-CN" w:bidi="ar-SA"/>
        </w:rPr>
        <w:t>。投标人在接到用户设备故障电话通知起，由于故障而无法工作超过3天，质保期自动延长相应天数（延长天数从故障电话通知之日开始计算）。</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default" w:ascii="仿宋_GB2312" w:hAnsi="仿宋_GB2312" w:eastAsia="仿宋_GB2312" w:cs="仿宋_GB2312"/>
          <w:color w:val="auto"/>
          <w:kern w:val="0"/>
          <w:sz w:val="28"/>
          <w:szCs w:val="28"/>
          <w:shd w:val="clear" w:color="auto" w:fill="FFFFFF"/>
          <w:lang w:val="en-US" w:eastAsia="zh-CN" w:bidi="ar-SA"/>
        </w:rPr>
      </w:pP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4</w:t>
      </w:r>
      <w:r>
        <w:rPr>
          <w:rFonts w:hint="default" w:ascii="仿宋_GB2312" w:hAnsi="仿宋_GB2312" w:eastAsia="仿宋_GB2312" w:cs="仿宋_GB2312"/>
          <w:color w:val="auto"/>
          <w:kern w:val="0"/>
          <w:sz w:val="28"/>
          <w:szCs w:val="28"/>
          <w:shd w:val="clear" w:color="auto" w:fill="FFFFFF"/>
          <w:lang w:val="en-US" w:eastAsia="zh-CN" w:bidi="ar-SA"/>
        </w:rPr>
        <w:t>）质保期内货物一旦出现故障，投标人响应时间不超过</w:t>
      </w:r>
      <w:r>
        <w:rPr>
          <w:rFonts w:hint="default" w:ascii="仿宋_GB2312" w:hAnsi="仿宋_GB2312" w:eastAsia="仿宋_GB2312" w:cs="仿宋_GB2312"/>
          <w:color w:val="FF0000"/>
          <w:kern w:val="0"/>
          <w:sz w:val="28"/>
          <w:szCs w:val="28"/>
          <w:u w:val="single"/>
          <w:shd w:val="clear" w:color="auto" w:fill="FFFFFF"/>
          <w:lang w:val="en-US" w:eastAsia="zh-CN" w:bidi="ar-SA"/>
        </w:rPr>
        <w:t>4小时</w:t>
      </w:r>
      <w:r>
        <w:rPr>
          <w:rFonts w:hint="default" w:ascii="仿宋_GB2312" w:hAnsi="仿宋_GB2312" w:eastAsia="仿宋_GB2312" w:cs="仿宋_GB2312"/>
          <w:color w:val="auto"/>
          <w:kern w:val="0"/>
          <w:sz w:val="28"/>
          <w:szCs w:val="28"/>
          <w:shd w:val="clear" w:color="auto" w:fill="FFFFFF"/>
          <w:lang w:val="en-US" w:eastAsia="zh-CN" w:bidi="ar-SA"/>
        </w:rPr>
        <w:t>，检修人员在</w:t>
      </w:r>
      <w:r>
        <w:rPr>
          <w:rFonts w:hint="default" w:ascii="仿宋_GB2312" w:hAnsi="仿宋_GB2312" w:eastAsia="仿宋_GB2312" w:cs="仿宋_GB2312"/>
          <w:color w:val="FF0000"/>
          <w:kern w:val="0"/>
          <w:sz w:val="28"/>
          <w:szCs w:val="28"/>
          <w:u w:val="single"/>
          <w:shd w:val="clear" w:color="auto" w:fill="FFFFFF"/>
          <w:lang w:val="en-US" w:eastAsia="zh-CN" w:bidi="ar-SA"/>
        </w:rPr>
        <w:t>2个工作日</w:t>
      </w:r>
      <w:r>
        <w:rPr>
          <w:rFonts w:hint="default" w:ascii="仿宋_GB2312" w:hAnsi="仿宋_GB2312" w:eastAsia="仿宋_GB2312" w:cs="仿宋_GB2312"/>
          <w:color w:val="auto"/>
          <w:kern w:val="0"/>
          <w:sz w:val="28"/>
          <w:szCs w:val="28"/>
          <w:shd w:val="clear" w:color="auto" w:fill="FFFFFF"/>
          <w:lang w:val="en-US" w:eastAsia="zh-CN" w:bidi="ar-SA"/>
        </w:rPr>
        <w:t>内到设备安装地点及时排除故障，技术人员在</w:t>
      </w:r>
      <w:r>
        <w:rPr>
          <w:rFonts w:hint="default" w:ascii="仿宋_GB2312" w:hAnsi="仿宋_GB2312" w:eastAsia="仿宋_GB2312" w:cs="仿宋_GB2312"/>
          <w:color w:val="FF0000"/>
          <w:kern w:val="0"/>
          <w:sz w:val="28"/>
          <w:szCs w:val="28"/>
          <w:u w:val="single"/>
          <w:shd w:val="clear" w:color="auto" w:fill="FFFFFF"/>
          <w:lang w:val="en-US" w:eastAsia="zh-CN" w:bidi="ar-SA"/>
        </w:rPr>
        <w:t>12小时</w:t>
      </w:r>
      <w:r>
        <w:rPr>
          <w:rFonts w:hint="default" w:ascii="仿宋_GB2312" w:hAnsi="仿宋_GB2312" w:eastAsia="仿宋_GB2312" w:cs="仿宋_GB2312"/>
          <w:color w:val="auto"/>
          <w:kern w:val="0"/>
          <w:sz w:val="28"/>
          <w:szCs w:val="28"/>
          <w:shd w:val="clear" w:color="auto" w:fill="FFFFFF"/>
          <w:lang w:val="en-US" w:eastAsia="zh-CN" w:bidi="ar-SA"/>
        </w:rPr>
        <w:t>内完成系统恢复正常使用；如果无法恢复的，投标人应负责联系厂家技术人员到现场排除故障，厂方人员接到报修后，响应时间不超过</w:t>
      </w:r>
      <w:r>
        <w:rPr>
          <w:rFonts w:hint="default" w:ascii="仿宋_GB2312" w:hAnsi="仿宋_GB2312" w:eastAsia="仿宋_GB2312" w:cs="仿宋_GB2312"/>
          <w:color w:val="FF0000"/>
          <w:kern w:val="0"/>
          <w:sz w:val="28"/>
          <w:szCs w:val="28"/>
          <w:u w:val="single"/>
          <w:shd w:val="clear" w:color="auto" w:fill="FFFFFF"/>
          <w:lang w:val="en-US" w:eastAsia="zh-CN" w:bidi="ar-SA"/>
        </w:rPr>
        <w:t>24小时</w:t>
      </w:r>
      <w:r>
        <w:rPr>
          <w:rFonts w:hint="default" w:ascii="仿宋_GB2312" w:hAnsi="仿宋_GB2312" w:eastAsia="仿宋_GB2312" w:cs="仿宋_GB2312"/>
          <w:color w:val="auto"/>
          <w:kern w:val="0"/>
          <w:sz w:val="28"/>
          <w:szCs w:val="28"/>
          <w:shd w:val="clear" w:color="auto" w:fill="FFFFFF"/>
          <w:lang w:val="en-US" w:eastAsia="zh-CN" w:bidi="ar-SA"/>
        </w:rPr>
        <w:t>；技术人员在</w:t>
      </w:r>
      <w:r>
        <w:rPr>
          <w:rFonts w:hint="default" w:ascii="仿宋_GB2312" w:hAnsi="仿宋_GB2312" w:eastAsia="仿宋_GB2312" w:cs="仿宋_GB2312"/>
          <w:color w:val="FF0000"/>
          <w:kern w:val="0"/>
          <w:sz w:val="28"/>
          <w:szCs w:val="28"/>
          <w:u w:val="single"/>
          <w:shd w:val="clear" w:color="auto" w:fill="FFFFFF"/>
          <w:lang w:val="en-US" w:eastAsia="zh-CN" w:bidi="ar-SA"/>
        </w:rPr>
        <w:t>72小时</w:t>
      </w:r>
      <w:r>
        <w:rPr>
          <w:rFonts w:hint="default" w:ascii="仿宋_GB2312" w:hAnsi="仿宋_GB2312" w:eastAsia="仿宋_GB2312" w:cs="仿宋_GB2312"/>
          <w:color w:val="auto"/>
          <w:kern w:val="0"/>
          <w:sz w:val="28"/>
          <w:szCs w:val="28"/>
          <w:shd w:val="clear" w:color="auto" w:fill="FFFFFF"/>
          <w:lang w:val="en-US" w:eastAsia="zh-CN" w:bidi="ar-SA"/>
        </w:rPr>
        <w:t>内不能排除故障时，投标人应提供与该系统规格、技术指标相一致的备品，并在到现场完成系统更换及指导工作，以保证实验教学正常运行。</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default" w:ascii="仿宋_GB2312" w:hAnsi="仿宋_GB2312" w:eastAsia="仿宋_GB2312" w:cs="仿宋_GB2312"/>
          <w:color w:val="auto"/>
          <w:kern w:val="0"/>
          <w:sz w:val="28"/>
          <w:szCs w:val="28"/>
          <w:shd w:val="clear" w:color="auto" w:fill="FFFFFF"/>
          <w:lang w:val="en-US" w:eastAsia="zh-CN" w:bidi="ar-SA"/>
        </w:rPr>
      </w:pP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5</w:t>
      </w:r>
      <w:r>
        <w:rPr>
          <w:rFonts w:hint="default" w:ascii="仿宋_GB2312" w:hAnsi="仿宋_GB2312" w:eastAsia="仿宋_GB2312" w:cs="仿宋_GB2312"/>
          <w:color w:val="auto"/>
          <w:kern w:val="0"/>
          <w:sz w:val="28"/>
          <w:szCs w:val="28"/>
          <w:shd w:val="clear" w:color="auto" w:fill="FFFFFF"/>
          <w:lang w:val="en-US" w:eastAsia="zh-CN" w:bidi="ar-SA"/>
        </w:rPr>
        <w:t>）质保期结束后，投标人需提供终身应用咨询、技术帮助及维护；货物一旦出现故障，投标人需协助采购人对货物进行维修，远程不能解决的，投标人需派出技术人员</w:t>
      </w:r>
      <w:r>
        <w:rPr>
          <w:rFonts w:hint="default" w:ascii="仿宋_GB2312" w:hAnsi="仿宋_GB2312" w:eastAsia="仿宋_GB2312" w:cs="仿宋_GB2312"/>
          <w:color w:val="FF0000"/>
          <w:kern w:val="0"/>
          <w:sz w:val="28"/>
          <w:szCs w:val="28"/>
          <w:u w:val="single"/>
          <w:shd w:val="clear" w:color="auto" w:fill="FFFFFF"/>
          <w:lang w:val="en-US" w:eastAsia="zh-CN" w:bidi="ar-SA"/>
        </w:rPr>
        <w:t>2个工作日</w:t>
      </w:r>
      <w:r>
        <w:rPr>
          <w:rFonts w:hint="default" w:ascii="仿宋_GB2312" w:hAnsi="仿宋_GB2312" w:eastAsia="仿宋_GB2312" w:cs="仿宋_GB2312"/>
          <w:color w:val="auto"/>
          <w:kern w:val="0"/>
          <w:sz w:val="28"/>
          <w:szCs w:val="28"/>
          <w:shd w:val="clear" w:color="auto" w:fill="FFFFFF"/>
          <w:lang w:val="en-US" w:eastAsia="zh-CN" w:bidi="ar-SA"/>
        </w:rPr>
        <w:t>内到现场进行维修，只收取人员差旅费，对设备故障需要更换的配件以成本价提供。</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560" w:firstLineChars="200"/>
        <w:jc w:val="both"/>
        <w:textAlignment w:val="auto"/>
        <w:rPr>
          <w:rFonts w:hint="eastAsia" w:ascii="仿宋_GB2312" w:hAnsi="仿宋_GB2312" w:eastAsia="仿宋_GB2312" w:cs="仿宋_GB2312"/>
          <w:color w:val="auto"/>
          <w:kern w:val="0"/>
          <w:sz w:val="28"/>
          <w:szCs w:val="28"/>
          <w:shd w:val="clear" w:color="auto" w:fill="FFFFFF"/>
          <w:lang w:val="en-US" w:eastAsia="zh-CN" w:bidi="ar-SA"/>
        </w:rPr>
      </w:pP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6</w:t>
      </w:r>
      <w:r>
        <w:rPr>
          <w:rFonts w:hint="default" w:ascii="仿宋_GB2312" w:hAnsi="仿宋_GB2312" w:eastAsia="仿宋_GB2312" w:cs="仿宋_GB2312"/>
          <w:color w:val="auto"/>
          <w:kern w:val="0"/>
          <w:sz w:val="28"/>
          <w:szCs w:val="28"/>
          <w:shd w:val="clear" w:color="auto" w:fill="FFFFFF"/>
          <w:lang w:val="en-US" w:eastAsia="zh-CN" w:bidi="ar-SA"/>
        </w:rPr>
        <w:t>）</w:t>
      </w:r>
      <w:r>
        <w:rPr>
          <w:rFonts w:hint="eastAsia" w:ascii="仿宋_GB2312" w:hAnsi="仿宋_GB2312" w:eastAsia="仿宋_GB2312" w:cs="仿宋_GB2312"/>
          <w:color w:val="auto"/>
          <w:kern w:val="0"/>
          <w:sz w:val="28"/>
          <w:szCs w:val="28"/>
          <w:shd w:val="clear" w:color="auto" w:fill="FFFFFF"/>
          <w:lang w:val="en-US" w:eastAsia="zh-CN" w:bidi="ar-SA"/>
        </w:rPr>
        <w:t>培训：投标人应结合本次采购的货物，有计划地对采购人派出管理、维护及使用人员进行安装现场的基本知识、使用、维护与保养技术的培训。</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付款要求</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shd w:val="clear" w:color="auto" w:fill="FFFFFF"/>
          <w:lang w:val="en-US" w:eastAsia="zh-CN" w:bidi="ar-SA"/>
        </w:rPr>
      </w:pPr>
      <w:r>
        <w:rPr>
          <w:rFonts w:hint="eastAsia" w:ascii="仿宋_GB2312" w:hAnsi="仿宋_GB2312" w:eastAsia="仿宋_GB2312" w:cs="仿宋_GB2312"/>
          <w:color w:val="auto"/>
          <w:kern w:val="0"/>
          <w:sz w:val="28"/>
          <w:szCs w:val="28"/>
          <w:shd w:val="clear" w:color="auto" w:fill="FFFFFF"/>
          <w:lang w:val="en-US" w:eastAsia="zh-CN" w:bidi="ar-SA"/>
        </w:rPr>
        <w:t>（1）付款：在所有货物经安装调试试运行完毕，经最终验收合格后30日内付清100%货款。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shd w:val="clear" w:color="auto" w:fill="FFFFFF"/>
          <w:lang w:val="en-US" w:eastAsia="zh-CN" w:bidi="ar-SA"/>
        </w:rPr>
      </w:pPr>
      <w:r>
        <w:rPr>
          <w:rFonts w:hint="eastAsia" w:ascii="仿宋_GB2312" w:hAnsi="仿宋_GB2312" w:eastAsia="仿宋_GB2312" w:cs="仿宋_GB2312"/>
          <w:color w:val="auto"/>
          <w:kern w:val="0"/>
          <w:sz w:val="28"/>
          <w:szCs w:val="28"/>
          <w:shd w:val="clear" w:color="auto" w:fill="FFFFFF"/>
          <w:lang w:val="en-US" w:eastAsia="zh-CN" w:bidi="ar-SA"/>
        </w:rPr>
        <w:t>（2）投标人、收款单位、购货票证开票单位三者应一致，投标人收款帐号应为中国人民银行批准的基本帐户。</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项目交付时限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kern w:val="0"/>
          <w:sz w:val="28"/>
          <w:szCs w:val="28"/>
          <w:shd w:val="clear" w:color="auto" w:fill="FFFFFF"/>
          <w:lang w:val="en-US" w:eastAsia="zh-CN" w:bidi="ar-SA"/>
        </w:rPr>
      </w:pPr>
      <w:r>
        <w:rPr>
          <w:rFonts w:hint="eastAsia" w:ascii="仿宋_GB2312" w:hAnsi="仿宋_GB2312" w:eastAsia="仿宋_GB2312" w:cs="仿宋_GB2312"/>
          <w:color w:val="auto"/>
          <w:kern w:val="0"/>
          <w:sz w:val="28"/>
          <w:szCs w:val="28"/>
          <w:shd w:val="clear" w:color="auto" w:fill="FFFFFF"/>
          <w:lang w:val="en-US" w:eastAsia="zh-CN" w:bidi="ar-SA"/>
        </w:rPr>
        <w:t>签订合同</w:t>
      </w:r>
      <w:r>
        <w:rPr>
          <w:rFonts w:hint="eastAsia" w:ascii="仿宋_GB2312" w:hAnsi="仿宋_GB2312" w:eastAsia="仿宋_GB2312" w:cs="仿宋_GB2312"/>
          <w:color w:val="auto"/>
          <w:kern w:val="0"/>
          <w:sz w:val="28"/>
          <w:szCs w:val="28"/>
          <w:u w:val="single"/>
          <w:shd w:val="clear" w:color="auto" w:fill="FFFFFF"/>
          <w:lang w:val="en-US" w:eastAsia="zh-CN" w:bidi="ar-SA"/>
        </w:rPr>
        <w:t xml:space="preserve">    </w:t>
      </w:r>
      <w:r>
        <w:rPr>
          <w:rFonts w:hint="eastAsia" w:ascii="仿宋_GB2312" w:hAnsi="仿宋_GB2312" w:eastAsia="仿宋_GB2312" w:cs="仿宋_GB2312"/>
          <w:color w:val="auto"/>
          <w:kern w:val="0"/>
          <w:sz w:val="28"/>
          <w:szCs w:val="28"/>
          <w:shd w:val="clear" w:color="auto" w:fill="FFFFFF"/>
          <w:lang w:val="en-US" w:eastAsia="zh-CN" w:bidi="ar-SA"/>
        </w:rPr>
        <w:t>天内完成安装及调试。</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四、开展采购活动的时间安排</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kern w:val="2"/>
          <w:sz w:val="28"/>
          <w:szCs w:val="28"/>
          <w:lang w:val="en-US" w:eastAsia="zh-CN" w:bidi="ar-SA"/>
        </w:rPr>
        <w:t>填写说明：采购活动的时间安排，</w:t>
      </w:r>
      <w:r>
        <w:rPr>
          <w:rFonts w:hint="eastAsia" w:ascii="仿宋_GB2312" w:hAnsi="仿宋_GB2312" w:eastAsia="仿宋_GB2312" w:cs="仿宋_GB2312"/>
          <w:color w:val="auto"/>
          <w:sz w:val="28"/>
          <w:szCs w:val="28"/>
          <w:lang w:eastAsia="zh-CN"/>
        </w:rPr>
        <w:t>如</w:t>
      </w:r>
      <w:r>
        <w:rPr>
          <w:rFonts w:hint="eastAsia" w:ascii="仿宋_GB2312" w:hAnsi="仿宋_GB2312" w:eastAsia="仿宋_GB2312" w:cs="仿宋_GB2312"/>
          <w:color w:val="auto"/>
          <w:sz w:val="28"/>
          <w:szCs w:val="28"/>
        </w:rPr>
        <w:t>采购进口产品报财政部门核准安排</w:t>
      </w:r>
      <w:r>
        <w:rPr>
          <w:rFonts w:hint="eastAsia" w:ascii="仿宋_GB2312" w:hAnsi="仿宋_GB2312" w:eastAsia="仿宋_GB2312" w:cs="仿宋_GB2312"/>
          <w:color w:val="auto"/>
          <w:sz w:val="28"/>
          <w:szCs w:val="28"/>
          <w:lang w:eastAsia="zh-CN"/>
        </w:rPr>
        <w:t>。</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五、采购组织形式</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填写说明：根据规定选择政府集中采购或学校集中采购。</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六、委托代理安排</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随机抽取采购代理机构</w:t>
      </w:r>
      <w:r>
        <w:rPr>
          <w:rFonts w:hint="eastAsia" w:ascii="仿宋_GB2312" w:hAnsi="仿宋_GB2312" w:eastAsia="仿宋_GB2312" w:cs="仿宋_GB2312"/>
          <w:color w:val="auto"/>
          <w:sz w:val="28"/>
          <w:szCs w:val="28"/>
        </w:rPr>
        <w:t>。</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七、采购包划分与合同分包</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48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填写说明：分包要求应载明是否允许中标供应商将本项目的非主体、非关键性工作进行分包。</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八、供应商资格条件</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填写说明：</w:t>
      </w:r>
      <w:r>
        <w:rPr>
          <w:rFonts w:hint="eastAsia" w:ascii="仿宋_GB2312" w:hAnsi="仿宋_GB2312" w:eastAsia="仿宋_GB2312" w:cs="仿宋_GB2312"/>
          <w:b w:val="0"/>
          <w:bCs w:val="0"/>
          <w:color w:val="auto"/>
          <w:sz w:val="28"/>
          <w:szCs w:val="28"/>
          <w:lang w:eastAsia="zh-CN"/>
        </w:rPr>
        <w:t>除</w:t>
      </w:r>
      <w:r>
        <w:rPr>
          <w:rFonts w:hint="eastAsia" w:ascii="仿宋_GB2312" w:hAnsi="仿宋_GB2312" w:eastAsia="仿宋_GB2312" w:cs="仿宋_GB2312"/>
          <w:b w:val="0"/>
          <w:bCs w:val="0"/>
          <w:color w:val="auto"/>
          <w:sz w:val="28"/>
          <w:szCs w:val="28"/>
        </w:rPr>
        <w:t>按照国家、省、市规定</w:t>
      </w:r>
      <w:r>
        <w:rPr>
          <w:rFonts w:hint="eastAsia" w:ascii="仿宋_GB2312" w:hAnsi="仿宋_GB2312" w:eastAsia="仿宋_GB2312" w:cs="仿宋_GB2312"/>
          <w:b w:val="0"/>
          <w:bCs w:val="0"/>
          <w:color w:val="auto"/>
          <w:sz w:val="28"/>
          <w:szCs w:val="28"/>
          <w:lang w:eastAsia="zh-CN"/>
        </w:rPr>
        <w:t>外，</w:t>
      </w:r>
      <w:r>
        <w:rPr>
          <w:rFonts w:hint="eastAsia" w:ascii="仿宋_GB2312" w:hAnsi="仿宋_GB2312" w:eastAsia="仿宋_GB2312" w:cs="仿宋_GB2312"/>
          <w:b w:val="0"/>
          <w:bCs w:val="0"/>
          <w:color w:val="auto"/>
          <w:sz w:val="28"/>
          <w:szCs w:val="28"/>
        </w:rPr>
        <w:t>有</w:t>
      </w:r>
      <w:r>
        <w:rPr>
          <w:rFonts w:hint="eastAsia" w:ascii="仿宋_GB2312" w:hAnsi="仿宋_GB2312" w:eastAsia="仿宋_GB2312" w:cs="仿宋_GB2312"/>
          <w:b w:val="0"/>
          <w:bCs w:val="0"/>
          <w:color w:val="auto"/>
          <w:sz w:val="28"/>
          <w:szCs w:val="28"/>
          <w:lang w:eastAsia="zh-CN"/>
        </w:rPr>
        <w:t>其他</w:t>
      </w:r>
      <w:r>
        <w:rPr>
          <w:rFonts w:hint="eastAsia" w:ascii="仿宋_GB2312" w:hAnsi="仿宋_GB2312" w:eastAsia="仿宋_GB2312" w:cs="仿宋_GB2312"/>
          <w:b w:val="0"/>
          <w:bCs w:val="0"/>
          <w:color w:val="auto"/>
          <w:sz w:val="28"/>
          <w:szCs w:val="28"/>
        </w:rPr>
        <w:t>具体要求请逐项列出</w:t>
      </w:r>
      <w:r>
        <w:rPr>
          <w:rFonts w:hint="eastAsia" w:ascii="仿宋_GB2312" w:hAnsi="仿宋_GB2312" w:eastAsia="仿宋_GB2312" w:cs="仿宋_GB2312"/>
          <w:b w:val="0"/>
          <w:bCs w:val="0"/>
          <w:color w:val="auto"/>
          <w:sz w:val="28"/>
          <w:szCs w:val="28"/>
          <w:lang w:eastAsia="zh-CN"/>
        </w:rPr>
        <w:t>。</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九、采购方式</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填写说明：根据项目实际，按规定选择采购方式。</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十、竞争范围</w:t>
      </w:r>
    </w:p>
    <w:p>
      <w:pPr>
        <w:pStyle w:val="5"/>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480"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填写说明：本项填“公开招标方式邀请供应商”。除法律法规规定可以在有限范围内竞争或者只能从唯一供应商处采购的情形外，一般采用公开方式邀请供应商参与政府采购活动。采用邀请方式邀请供应商参与政府采购活动的，应说明依据的法律法规规定。</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十一、履约保证金</w:t>
      </w:r>
    </w:p>
    <w:p>
      <w:pPr>
        <w:pStyle w:val="10"/>
        <w:keepNext w:val="0"/>
        <w:keepLines w:val="0"/>
        <w:pageBreakBefore w:val="0"/>
        <w:widowControl w:val="0"/>
        <w:kinsoku/>
        <w:wordWrap/>
        <w:overflowPunct/>
        <w:topLinePunct w:val="0"/>
        <w:autoSpaceDE w:val="0"/>
        <w:autoSpaceDN w:val="0"/>
        <w:bidi w:val="0"/>
        <w:adjustRightInd w:val="0"/>
        <w:snapToGrid w:val="0"/>
        <w:spacing w:line="460" w:lineRule="exact"/>
        <w:ind w:firstLine="560" w:firstLineChars="200"/>
        <w:jc w:val="both"/>
        <w:textAlignment w:val="auto"/>
        <w:rPr>
          <w:rFonts w:hint="eastAsia" w:ascii="黑体" w:hAnsi="黑体" w:eastAsia="黑体" w:cs="黑体"/>
          <w:b/>
          <w:bCs/>
          <w:color w:val="auto"/>
          <w:sz w:val="30"/>
          <w:szCs w:val="30"/>
          <w:lang w:val="en-US" w:eastAsia="zh-CN"/>
        </w:rPr>
      </w:pPr>
      <w:r>
        <w:rPr>
          <w:rFonts w:hint="eastAsia" w:ascii="仿宋_GB2312" w:hAnsi="仿宋_GB2312" w:eastAsia="仿宋_GB2312" w:cs="仿宋_GB2312"/>
          <w:color w:val="auto"/>
          <w:kern w:val="2"/>
          <w:sz w:val="28"/>
          <w:szCs w:val="28"/>
          <w:lang w:val="en-US" w:eastAsia="zh-CN" w:bidi="ar-SA"/>
        </w:rPr>
        <w:t xml:space="preserve">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十二、合同类型、合同文本的主要条款</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买卖合同，主要条款参照学校合同范本。</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十三、定价方式</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48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总价合同。</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十四、履约验收方案</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default" w:ascii="黑体" w:hAnsi="黑体" w:eastAsia="黑体" w:cs="黑体"/>
          <w:b w:val="0"/>
          <w:bCs w:val="0"/>
          <w:color w:val="auto"/>
          <w:sz w:val="30"/>
          <w:szCs w:val="30"/>
          <w:lang w:val="en-US" w:eastAsia="zh-CN"/>
        </w:rPr>
      </w:pPr>
      <w:r>
        <w:rPr>
          <w:rFonts w:hint="eastAsia" w:ascii="仿宋_GB2312" w:hAnsi="仿宋_GB2312" w:eastAsia="仿宋_GB2312" w:cs="仿宋_GB2312"/>
          <w:b w:val="0"/>
          <w:bCs w:val="0"/>
          <w:color w:val="auto"/>
          <w:kern w:val="2"/>
          <w:sz w:val="28"/>
          <w:szCs w:val="28"/>
          <w:lang w:val="en-US" w:eastAsia="zh-CN" w:bidi="ar-SA"/>
        </w:rPr>
        <w:t>填写说明：以下为参考范本，请根据项目实际进行修改。</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（一）验收标准</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按厂家设备验收标准(符合国家或行业或地方标准)、招标文件、投标文件、合同等相关文件执行。验收结果应符合采购人使用要求。</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（二）验收程序</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十五、风险管控措施。</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按国家省市相关政策和合同约定执行。</w:t>
      </w:r>
    </w:p>
    <w:p>
      <w:pPr>
        <w:pStyle w:val="5"/>
        <w:keepNext w:val="0"/>
        <w:keepLines w:val="0"/>
        <w:pageBreakBefore w:val="0"/>
        <w:widowControl w:val="0"/>
        <w:shd w:val="clear" w:color="auto" w:fill="FFFFFF"/>
        <w:kinsoku/>
        <w:wordWrap/>
        <w:overflowPunct/>
        <w:topLinePunct w:val="0"/>
        <w:bidi w:val="0"/>
        <w:spacing w:beforeAutospacing="0" w:afterAutospacing="0" w:line="560" w:lineRule="exact"/>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十六、评审规则</w:t>
      </w:r>
    </w:p>
    <w:p>
      <w:pPr>
        <w:numPr>
          <w:ilvl w:val="0"/>
          <w:numId w:val="0"/>
        </w:numPr>
        <w:spacing w:line="460" w:lineRule="exac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（一）采用最低评标价法。</w:t>
      </w:r>
    </w:p>
    <w:p>
      <w:pPr>
        <w:pStyle w:val="5"/>
        <w:widowControl/>
        <w:shd w:val="clear" w:color="auto" w:fill="FFFFFF"/>
        <w:spacing w:beforeAutospacing="0" w:afterAutospacing="0" w:line="460" w:lineRule="exac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（二）采用综合评分法。按以下要求描述评分方法。</w:t>
      </w:r>
    </w:p>
    <w:p>
      <w:pPr>
        <w:numPr>
          <w:ilvl w:val="0"/>
          <w:numId w:val="0"/>
        </w:numPr>
        <w:spacing w:line="460" w:lineRule="exact"/>
        <w:ind w:firstLine="562" w:firstLineChars="200"/>
        <w:rPr>
          <w:rFonts w:hint="eastAsia" w:ascii="仿宋_GB2312" w:hAnsi="仿宋_GB2312" w:eastAsia="仿宋_GB2312" w:cs="仿宋_GB2312"/>
          <w:b/>
          <w:bCs/>
          <w:color w:val="auto"/>
          <w:kern w:val="0"/>
          <w:sz w:val="28"/>
          <w:szCs w:val="28"/>
          <w:shd w:val="clear" w:color="auto" w:fill="FFFFFF"/>
          <w:lang w:val="en-US" w:eastAsia="zh-CN" w:bidi="ar-SA"/>
        </w:rPr>
      </w:pPr>
      <w:r>
        <w:rPr>
          <w:rFonts w:hint="eastAsia" w:ascii="仿宋_GB2312" w:hAnsi="仿宋_GB2312" w:eastAsia="仿宋_GB2312" w:cs="仿宋_GB2312"/>
          <w:b/>
          <w:bCs/>
          <w:color w:val="auto"/>
          <w:kern w:val="0"/>
          <w:sz w:val="28"/>
          <w:szCs w:val="28"/>
          <w:shd w:val="clear" w:color="auto" w:fill="FFFFFF"/>
          <w:lang w:val="en-US" w:eastAsia="zh-CN" w:bidi="ar-SA"/>
        </w:rPr>
        <w:t>货物类价格分区间为30-60分，商务分不超过15分；服务类价格分不低于10分，商务分不超过25分。</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（1）在最大限度地满足招标文件实质性要求前提下，按照招标文件中规定的各项因素进行综合评审后，以评标总得分最高的</w:t>
      </w:r>
      <w:r>
        <w:rPr>
          <w:rFonts w:hint="eastAsia" w:ascii="仿宋_GB2312" w:hAnsi="仿宋_GB2312" w:eastAsia="仿宋_GB2312" w:cs="仿宋_GB2312"/>
          <w:color w:val="auto"/>
          <w:sz w:val="28"/>
          <w:szCs w:val="28"/>
          <w:shd w:val="clear" w:color="auto" w:fill="FFFFFF"/>
          <w:lang w:eastAsia="zh-CN"/>
        </w:rPr>
        <w:t>投标人</w:t>
      </w:r>
      <w:r>
        <w:rPr>
          <w:rFonts w:hint="eastAsia" w:ascii="仿宋_GB2312" w:hAnsi="仿宋_GB2312" w:eastAsia="仿宋_GB2312" w:cs="仿宋_GB2312"/>
          <w:color w:val="auto"/>
          <w:sz w:val="28"/>
          <w:szCs w:val="28"/>
          <w:shd w:val="clear" w:color="auto" w:fill="FFFFFF"/>
        </w:rPr>
        <w:t xml:space="preserve">作为中标候选人。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（2）中标候选人排列规则顺序如下：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a.按照评标总得分由高到低顺序排列。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b.评标总得分相同的，按照投标报价由低到高顺序排列。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c.评标总得分且投标报价相同的，按照技术指标优劣（即F2项的得分高低）顺序排列。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xml:space="preserve">d.其他：无。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（3）每个有效</w:t>
      </w:r>
      <w:r>
        <w:rPr>
          <w:rFonts w:hint="eastAsia" w:ascii="仿宋_GB2312" w:hAnsi="仿宋_GB2312" w:eastAsia="仿宋_GB2312" w:cs="仿宋_GB2312"/>
          <w:color w:val="auto"/>
          <w:sz w:val="28"/>
          <w:szCs w:val="28"/>
          <w:shd w:val="clear" w:color="auto" w:fill="FFFFFF"/>
          <w:lang w:eastAsia="zh-CN"/>
        </w:rPr>
        <w:t>投标人</w:t>
      </w:r>
      <w:r>
        <w:rPr>
          <w:rFonts w:hint="eastAsia" w:ascii="仿宋_GB2312" w:hAnsi="仿宋_GB2312" w:eastAsia="仿宋_GB2312" w:cs="仿宋_GB2312"/>
          <w:color w:val="auto"/>
          <w:sz w:val="28"/>
          <w:szCs w:val="28"/>
          <w:shd w:val="clear" w:color="auto" w:fill="FFFFFF"/>
        </w:rPr>
        <w:t xml:space="preserve">的评标总得分F＝F1＋F2＋F3＋F4（若有），其中：F1指价格因素得分、F2指技术因素得分、F3指商务因素得分，F1＋F2＋F3的满分合计为100分，F4为节能、环境标志产品在采购活动中可享有的加分优惠。具体分值设置如下：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①F1为价格因素得分，满分为</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分。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a.价格分采用低价优先法计算，即满足招标文件要求且投标价格最低的投标报价为评标基准价，其价格分为满分。其他</w:t>
      </w:r>
      <w:r>
        <w:rPr>
          <w:rFonts w:hint="eastAsia" w:ascii="仿宋_GB2312" w:hAnsi="仿宋_GB2312" w:eastAsia="仿宋_GB2312" w:cs="仿宋_GB2312"/>
          <w:color w:val="auto"/>
          <w:sz w:val="28"/>
          <w:szCs w:val="28"/>
          <w:shd w:val="clear" w:color="auto" w:fill="FFFFFF"/>
          <w:lang w:eastAsia="zh-CN"/>
        </w:rPr>
        <w:t>投标人</w:t>
      </w:r>
      <w:r>
        <w:rPr>
          <w:rFonts w:hint="eastAsia" w:ascii="仿宋_GB2312" w:hAnsi="仿宋_GB2312" w:eastAsia="仿宋_GB2312" w:cs="仿宋_GB2312"/>
          <w:color w:val="auto"/>
          <w:sz w:val="28"/>
          <w:szCs w:val="28"/>
          <w:shd w:val="clear" w:color="auto" w:fill="FFFFFF"/>
        </w:rPr>
        <w:t xml:space="preserve">的价格分统一按照下列公式计算：投标报价得分=（评标基准价／投标报价）×价格权值×100。 </w:t>
      </w:r>
    </w:p>
    <w:p>
      <w:pPr>
        <w:pStyle w:val="5"/>
        <w:widowControl/>
        <w:shd w:val="clear" w:color="auto" w:fill="FFFFFF"/>
        <w:spacing w:beforeAutospacing="0" w:afterAutospacing="0" w:line="460" w:lineRule="exact"/>
        <w:ind w:firstLine="480"/>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b.价格扣除的规则如下：</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评标项目</w:t>
            </w:r>
          </w:p>
        </w:tc>
        <w:tc>
          <w:tcPr>
            <w:tcW w:w="4099"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pStyle w:val="10"/>
              <w:keepNext w:val="0"/>
              <w:keepLines w:val="0"/>
              <w:pageBreakBefore w:val="0"/>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rPr>
              <w:t>小型、微型企业，监狱企业，残疾人</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按项目标的所属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节能（非强制类）、环境标志产品</w:t>
            </w:r>
          </w:p>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（此项为货物标，服务标不参与此政策。）</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Style w:val="9"/>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_GB2312" w:hAnsi="仿宋_GB2312" w:eastAsia="仿宋_GB2312" w:cs="仿宋_GB2312"/>
          <w:b w:val="0"/>
          <w:bCs w:val="0"/>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rPr>
        <w:t>②F2为技术因素得分，满分为</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分。</w:t>
      </w:r>
    </w:p>
    <w:tbl>
      <w:tblPr>
        <w:tblStyle w:val="7"/>
        <w:tblW w:w="5091" w:type="pct"/>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679"/>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48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评标项目</w:t>
            </w:r>
          </w:p>
        </w:tc>
        <w:tc>
          <w:tcPr>
            <w:tcW w:w="391"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评标分值</w:t>
            </w:r>
          </w:p>
        </w:tc>
        <w:tc>
          <w:tcPr>
            <w:tcW w:w="4124"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48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技术响应情况</w:t>
            </w:r>
          </w:p>
        </w:tc>
        <w:tc>
          <w:tcPr>
            <w:tcW w:w="391" w:type="pct"/>
            <w:noWrap w:val="0"/>
            <w:vAlign w:val="top"/>
          </w:tcPr>
          <w:p>
            <w:pPr>
              <w:pStyle w:val="5"/>
              <w:widowControl/>
              <w:spacing w:beforeAutospacing="0" w:afterAutospacing="0" w:line="288" w:lineRule="auto"/>
              <w:rPr>
                <w:rFonts w:hint="eastAsia" w:ascii="仿宋_GB2312" w:hAnsi="仿宋_GB2312" w:eastAsia="仿宋_GB2312" w:cs="仿宋_GB2312"/>
                <w:color w:val="auto"/>
                <w:sz w:val="28"/>
                <w:szCs w:val="28"/>
                <w:shd w:val="clear" w:color="auto" w:fill="FFFFFF"/>
                <w:vertAlign w:val="baseline"/>
              </w:rPr>
            </w:pPr>
          </w:p>
        </w:tc>
        <w:tc>
          <w:tcPr>
            <w:tcW w:w="4124"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投标</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完全响应招标文件“技术和服务要求”的得</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分，其中带</w:t>
            </w:r>
            <w:r>
              <w:rPr>
                <w:rFonts w:hint="eastAsia" w:ascii="仿宋_GB2312" w:hAnsi="仿宋_GB2312" w:eastAsia="仿宋_GB2312" w:cs="仿宋_GB2312"/>
                <w:color w:val="auto"/>
                <w:sz w:val="28"/>
                <w:szCs w:val="28"/>
                <w:lang w:eastAsia="zh-CN"/>
              </w:rPr>
              <w:t>★的技术参数为实质性要求，不允许负偏离，否则视为无效投标，带</w:t>
            </w:r>
            <w:r>
              <w:rPr>
                <w:rFonts w:hint="eastAsia" w:ascii="仿宋_GB2312" w:hAnsi="仿宋_GB2312" w:eastAsia="仿宋_GB2312" w:cs="仿宋_GB2312"/>
                <w:color w:val="auto"/>
                <w:sz w:val="28"/>
                <w:szCs w:val="28"/>
              </w:rPr>
              <w:t>▲的技术参数（共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项），有不响应或负偏离的每项扣</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（合计</w:t>
            </w:r>
            <w:r>
              <w:rPr>
                <w:rFonts w:hint="eastAsia" w:ascii="仿宋_GB2312" w:hAnsi="仿宋_GB2312" w:eastAsia="仿宋_GB2312" w:cs="仿宋_GB2312"/>
                <w:color w:val="auto"/>
                <w:sz w:val="28"/>
                <w:szCs w:val="28"/>
                <w:lang w:val="en-US" w:eastAsia="zh-CN"/>
              </w:rPr>
              <w:t xml:space="preserve">  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；其余技术参数(共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项)有不响应或者负偏离的每项扣</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（合计</w:t>
            </w:r>
            <w:r>
              <w:rPr>
                <w:rFonts w:hint="eastAsia" w:ascii="仿宋_GB2312" w:hAnsi="仿宋_GB2312" w:eastAsia="仿宋_GB2312" w:cs="仿宋_GB2312"/>
                <w:color w:val="auto"/>
                <w:sz w:val="28"/>
                <w:szCs w:val="28"/>
                <w:lang w:val="en-US" w:eastAsia="zh-CN"/>
              </w:rPr>
              <w:t xml:space="preserve">  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本项满分</w:t>
            </w:r>
            <w:r>
              <w:rPr>
                <w:rFonts w:hint="eastAsia" w:ascii="仿宋_GB2312" w:hAnsi="仿宋_GB2312" w:eastAsia="仿宋_GB2312" w:cs="仿宋_GB2312"/>
                <w:color w:val="auto"/>
                <w:sz w:val="28"/>
                <w:szCs w:val="28"/>
                <w:lang w:val="en-US" w:eastAsia="zh-CN"/>
              </w:rPr>
              <w:t xml:space="preserve"> 分，正偏离不加分。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8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技术参数优于情况</w:t>
            </w:r>
          </w:p>
        </w:tc>
        <w:tc>
          <w:tcPr>
            <w:tcW w:w="391" w:type="pct"/>
            <w:noWrap w:val="0"/>
            <w:vAlign w:val="top"/>
          </w:tcPr>
          <w:p>
            <w:pPr>
              <w:pStyle w:val="5"/>
              <w:widowControl/>
              <w:spacing w:beforeAutospacing="0" w:afterAutospacing="0" w:line="288" w:lineRule="auto"/>
              <w:rPr>
                <w:rFonts w:hint="eastAsia" w:ascii="仿宋_GB2312" w:hAnsi="仿宋_GB2312" w:eastAsia="仿宋_GB2312" w:cs="仿宋_GB2312"/>
                <w:color w:val="auto"/>
                <w:sz w:val="28"/>
                <w:szCs w:val="28"/>
                <w:shd w:val="clear" w:color="auto" w:fill="FFFFFF"/>
                <w:vertAlign w:val="baseline"/>
              </w:rPr>
            </w:pPr>
          </w:p>
        </w:tc>
        <w:tc>
          <w:tcPr>
            <w:tcW w:w="412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
              </w:rPr>
              <w:t>技术评分项设置优于基本技术参数（要求）的加分，非基本技术参数（要求）不得设置评分项。每个评分项请写出与之对应的技术参数的序号和内容。</w:t>
            </w:r>
          </w:p>
        </w:tc>
      </w:tr>
    </w:tbl>
    <w:p>
      <w:pPr>
        <w:pStyle w:val="5"/>
        <w:widowControl/>
        <w:shd w:val="clear" w:color="auto" w:fill="FFFFFF"/>
        <w:spacing w:beforeAutospacing="0" w:afterAutospacing="0" w:line="288" w:lineRule="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③F3为商务因素得分，满分为</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分。</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711"/>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8"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评标项目</w:t>
            </w:r>
          </w:p>
        </w:tc>
        <w:tc>
          <w:tcPr>
            <w:tcW w:w="417"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rPr>
              <w:t>评标分值</w:t>
            </w:r>
          </w:p>
        </w:tc>
        <w:tc>
          <w:tcPr>
            <w:tcW w:w="4173" w:type="pct"/>
            <w:noWrap w:val="0"/>
            <w:vAlign w:val="top"/>
          </w:tcPr>
          <w:p>
            <w:pPr>
              <w:pStyle w:val="5"/>
              <w:widowControl/>
              <w:spacing w:beforeAutospacing="0" w:afterAutospacing="0" w:line="288"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评标方法描述</w:t>
            </w:r>
          </w:p>
          <w:p>
            <w:pPr>
              <w:pStyle w:val="5"/>
              <w:widowControl/>
              <w:spacing w:beforeAutospacing="0" w:afterAutospacing="0" w:line="288" w:lineRule="auto"/>
              <w:jc w:val="center"/>
              <w:rPr>
                <w:rFonts w:hint="eastAsia" w:ascii="仿宋_GB2312" w:hAnsi="仿宋_GB2312" w:eastAsia="仿宋_GB2312" w:cs="仿宋_GB2312"/>
                <w:b/>
                <w:bCs/>
                <w:color w:val="auto"/>
                <w:sz w:val="28"/>
                <w:szCs w:val="28"/>
                <w:vertAlign w:val="baseline"/>
              </w:rPr>
            </w:pPr>
            <w:r>
              <w:rPr>
                <w:rFonts w:hint="eastAsia" w:ascii="仿宋_GB2312" w:hAnsi="仿宋_GB2312" w:eastAsia="仿宋_GB2312" w:cs="仿宋_GB2312"/>
                <w:b/>
                <w:bCs/>
                <w:color w:val="auto"/>
                <w:sz w:val="28"/>
                <w:szCs w:val="28"/>
                <w:lang w:val="en-US" w:eastAsia="zh-CN"/>
              </w:rPr>
              <w:t>（评分项分值设置不高于3分）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5"/>
              <w:widowControl/>
              <w:spacing w:beforeAutospacing="0" w:afterAutospacing="0" w:line="288" w:lineRule="auto"/>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1</w:t>
            </w:r>
          </w:p>
        </w:tc>
        <w:tc>
          <w:tcPr>
            <w:tcW w:w="417" w:type="pct"/>
            <w:noWrap w:val="0"/>
            <w:vAlign w:val="top"/>
          </w:tcPr>
          <w:p>
            <w:pPr>
              <w:pStyle w:val="5"/>
              <w:widowControl/>
              <w:spacing w:beforeAutospacing="0" w:afterAutospacing="0" w:line="288" w:lineRule="auto"/>
              <w:rPr>
                <w:rFonts w:hint="eastAsia" w:ascii="仿宋_GB2312" w:hAnsi="仿宋_GB2312" w:eastAsia="仿宋_GB2312" w:cs="仿宋_GB2312"/>
                <w:b/>
                <w:bCs/>
                <w:color w:val="auto"/>
                <w:sz w:val="28"/>
                <w:szCs w:val="28"/>
                <w:vertAlign w:val="baseline"/>
              </w:rPr>
            </w:pPr>
          </w:p>
        </w:tc>
        <w:tc>
          <w:tcPr>
            <w:tcW w:w="417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售后服务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0"/>
                <w:sz w:val="28"/>
                <w:szCs w:val="28"/>
                <w:lang w:bidi="ar"/>
              </w:rPr>
              <w:t>根据各</w:t>
            </w:r>
            <w:r>
              <w:rPr>
                <w:rFonts w:hint="eastAsia" w:ascii="仿宋_GB2312" w:hAnsi="仿宋_GB2312" w:eastAsia="仿宋_GB2312" w:cs="仿宋_GB2312"/>
                <w:color w:val="auto"/>
                <w:kern w:val="0"/>
                <w:sz w:val="28"/>
                <w:szCs w:val="28"/>
                <w:lang w:eastAsia="zh-CN" w:bidi="ar"/>
              </w:rPr>
              <w:t>投标人制定的售后服务方案（至少包含</w:t>
            </w:r>
            <w:r>
              <w:rPr>
                <w:rFonts w:hint="eastAsia" w:ascii="仿宋_GB2312" w:hAnsi="仿宋_GB2312" w:eastAsia="仿宋_GB2312" w:cs="仿宋_GB2312"/>
                <w:color w:val="auto"/>
                <w:kern w:val="0"/>
                <w:sz w:val="28"/>
                <w:szCs w:val="28"/>
                <w:lang w:bidi="ar"/>
              </w:rPr>
              <w:t>售后服务承诺、维护响应计划</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具体的售后服务内容、故障响应时间、响应方式</w:t>
            </w:r>
            <w:r>
              <w:rPr>
                <w:rFonts w:hint="eastAsia" w:ascii="仿宋_GB2312" w:hAnsi="仿宋_GB2312" w:eastAsia="仿宋_GB2312" w:cs="仿宋_GB2312"/>
                <w:color w:val="auto"/>
                <w:kern w:val="0"/>
                <w:sz w:val="28"/>
                <w:szCs w:val="28"/>
                <w:lang w:eastAsia="zh-CN" w:bidi="ar"/>
              </w:rPr>
              <w:t>等）进行评议：</w:t>
            </w:r>
            <w:r>
              <w:rPr>
                <w:rFonts w:hint="eastAsia" w:ascii="仿宋_GB2312" w:hAnsi="仿宋_GB2312" w:eastAsia="仿宋_GB2312" w:cs="仿宋_GB2312"/>
                <w:color w:val="auto"/>
                <w:kern w:val="0"/>
                <w:sz w:val="28"/>
                <w:szCs w:val="28"/>
                <w:lang w:val="en-US" w:eastAsia="zh-CN" w:bidi="ar"/>
              </w:rPr>
              <w:t>方案包含的要点齐全无缺漏项、内容与要点相符、每个要点均有展开详细的阐述，切合采购人的实际情况的得3分；方案所包含的要点齐全、内容与要点相符、每个要点均有展开阐述（没有特别具体）但基本能够适用于本项目的得2分；方案所包含的要点齐全、内容与要点相符但仅有纲要、内容简略，未展开详细阐述但基本能够适用于本项目的得1分；方案所包含的要点有缺漏、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5"/>
              <w:widowControl/>
              <w:spacing w:beforeAutospacing="0" w:afterAutospacing="0" w:line="288" w:lineRule="auto"/>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2</w:t>
            </w:r>
          </w:p>
        </w:tc>
        <w:tc>
          <w:tcPr>
            <w:tcW w:w="417" w:type="pct"/>
            <w:noWrap w:val="0"/>
            <w:vAlign w:val="top"/>
          </w:tcPr>
          <w:p>
            <w:pPr>
              <w:pStyle w:val="5"/>
              <w:widowControl/>
              <w:spacing w:beforeAutospacing="0" w:afterAutospacing="0" w:line="288" w:lineRule="auto"/>
              <w:rPr>
                <w:rFonts w:hint="eastAsia" w:ascii="仿宋_GB2312" w:hAnsi="仿宋_GB2312" w:eastAsia="仿宋_GB2312" w:cs="仿宋_GB2312"/>
                <w:b/>
                <w:bCs/>
                <w:color w:val="auto"/>
                <w:sz w:val="28"/>
                <w:szCs w:val="28"/>
                <w:vertAlign w:val="baseline"/>
              </w:rPr>
            </w:pPr>
          </w:p>
        </w:tc>
        <w:tc>
          <w:tcPr>
            <w:tcW w:w="4173"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业绩经验：根据投标人</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年1月1日起（以合同签订时间为准）完成的</w:t>
            </w:r>
            <w:r>
              <w:rPr>
                <w:rFonts w:hint="eastAsia" w:ascii="仿宋_GB2312" w:hAnsi="仿宋_GB2312" w:eastAsia="仿宋_GB2312" w:cs="仿宋_GB2312"/>
                <w:color w:val="auto"/>
                <w:sz w:val="28"/>
                <w:szCs w:val="28"/>
                <w:lang w:eastAsia="zh-CN"/>
              </w:rPr>
              <w:t>与本项目</w:t>
            </w:r>
            <w:r>
              <w:rPr>
                <w:rFonts w:hint="eastAsia" w:ascii="仿宋_GB2312" w:hAnsi="仿宋_GB2312" w:eastAsia="仿宋_GB2312" w:cs="仿宋_GB2312"/>
                <w:color w:val="auto"/>
                <w:sz w:val="28"/>
                <w:szCs w:val="28"/>
              </w:rPr>
              <w:t>同类</w:t>
            </w:r>
            <w:r>
              <w:rPr>
                <w:rFonts w:hint="eastAsia" w:ascii="仿宋_GB2312" w:hAnsi="仿宋_GB2312" w:eastAsia="仿宋_GB2312" w:cs="仿宋_GB2312"/>
                <w:color w:val="auto"/>
                <w:sz w:val="28"/>
                <w:szCs w:val="28"/>
                <w:lang w:eastAsia="zh-CN"/>
              </w:rPr>
              <w:t>标的的</w:t>
            </w:r>
            <w:r>
              <w:rPr>
                <w:rFonts w:hint="eastAsia" w:ascii="仿宋_GB2312" w:hAnsi="仿宋_GB2312" w:eastAsia="仿宋_GB2312" w:cs="仿宋_GB2312"/>
                <w:color w:val="auto"/>
                <w:sz w:val="28"/>
                <w:szCs w:val="28"/>
              </w:rPr>
              <w:t>案例进行评分，每个案例</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满分3分。【投标人须提供该业绩项目的中标公告（提供相关网站中标公告的下载网页并注明网址）或查询网址链接、中标通知书复印件或查询网址链接、采购合同文本复印件或查询网址链接、验收报告或能够证明该业绩项目已经采购人验收合格的相关证明文件复印件或查询网址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pStyle w:val="5"/>
              <w:widowControl/>
              <w:spacing w:beforeAutospacing="0" w:afterAutospacing="0" w:line="288" w:lineRule="auto"/>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3</w:t>
            </w:r>
          </w:p>
        </w:tc>
        <w:tc>
          <w:tcPr>
            <w:tcW w:w="417" w:type="pct"/>
            <w:noWrap w:val="0"/>
            <w:vAlign w:val="top"/>
          </w:tcPr>
          <w:p>
            <w:pPr>
              <w:pStyle w:val="5"/>
              <w:widowControl/>
              <w:spacing w:beforeAutospacing="0" w:afterAutospacing="0" w:line="288" w:lineRule="auto"/>
              <w:rPr>
                <w:rFonts w:hint="eastAsia" w:ascii="仿宋_GB2312" w:hAnsi="仿宋_GB2312" w:eastAsia="仿宋_GB2312" w:cs="仿宋_GB2312"/>
                <w:b/>
                <w:bCs/>
                <w:color w:val="auto"/>
                <w:sz w:val="28"/>
                <w:szCs w:val="28"/>
                <w:vertAlign w:val="baseline"/>
              </w:rPr>
            </w:pPr>
          </w:p>
        </w:tc>
        <w:tc>
          <w:tcPr>
            <w:tcW w:w="4173" w:type="pct"/>
            <w:noWrap w:val="0"/>
            <w:vAlign w:val="center"/>
          </w:tcPr>
          <w:p>
            <w:pPr>
              <w:pStyle w:val="10"/>
              <w:keepNext w:val="0"/>
              <w:keepLines w:val="0"/>
              <w:pageBreakBefore w:val="0"/>
              <w:kinsoku/>
              <w:wordWrap/>
              <w:overflowPunct/>
              <w:topLinePunct w:val="0"/>
              <w:bidi w:val="0"/>
              <w:snapToGrid w:val="0"/>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其他商务评分条款。</w:t>
            </w:r>
          </w:p>
        </w:tc>
      </w:tr>
    </w:tbl>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b/>
          <w:bCs/>
          <w:color w:val="FF0000"/>
          <w:sz w:val="36"/>
          <w:szCs w:val="36"/>
          <w:lang w:val="en-US" w:eastAsia="zh-CN"/>
        </w:rPr>
      </w:pPr>
      <w:r>
        <w:rPr>
          <w:rFonts w:hint="eastAsia" w:ascii="仿宋_GB2312" w:hAnsi="仿宋_GB2312" w:eastAsia="仿宋_GB2312" w:cs="仿宋_GB2312"/>
          <w:b/>
          <w:bCs/>
          <w:color w:val="FF0000"/>
          <w:sz w:val="36"/>
          <w:szCs w:val="36"/>
          <w:lang w:val="en-US" w:eastAsia="zh-CN"/>
        </w:rPr>
        <w:t>注意事项：</w:t>
      </w:r>
    </w:p>
    <w:p>
      <w:pPr>
        <w:keepNext w:val="0"/>
        <w:keepLines w:val="0"/>
        <w:pageBreakBefore w:val="0"/>
        <w:widowControl/>
        <w:kinsoku/>
        <w:wordWrap/>
        <w:overflowPunct/>
        <w:topLinePunct w:val="0"/>
        <w:autoSpaceDE/>
        <w:autoSpaceDN/>
        <w:bidi w:val="0"/>
        <w:adjustRightInd/>
        <w:snapToGrid w:val="0"/>
        <w:spacing w:line="500" w:lineRule="exact"/>
        <w:ind w:firstLine="562" w:firstLineChars="200"/>
        <w:jc w:val="left"/>
        <w:textAlignment w:val="auto"/>
        <w:rPr>
          <w:rFonts w:hint="eastAsia" w:ascii="仿宋_GB2312" w:hAnsi="仿宋_GB2312" w:eastAsia="仿宋_GB2312" w:cs="仿宋_GB2312"/>
          <w:b/>
          <w:bCs/>
          <w:color w:val="auto"/>
          <w:kern w:val="0"/>
          <w:sz w:val="28"/>
          <w:szCs w:val="28"/>
          <w:shd w:val="clear" w:color="auto" w:fill="FFFFFF"/>
          <w:lang w:val="en-US" w:eastAsia="zh-CN" w:bidi="ar-SA"/>
        </w:rPr>
      </w:pPr>
      <w:r>
        <w:rPr>
          <w:rFonts w:hint="eastAsia" w:ascii="仿宋_GB2312" w:hAnsi="仿宋_GB2312" w:eastAsia="仿宋_GB2312" w:cs="仿宋_GB2312"/>
          <w:b/>
          <w:bCs/>
          <w:color w:val="auto"/>
          <w:kern w:val="0"/>
          <w:sz w:val="28"/>
          <w:szCs w:val="28"/>
          <w:shd w:val="clear" w:color="auto" w:fill="FFFFFF"/>
          <w:lang w:val="en-US" w:eastAsia="zh-CN" w:bidi="ar-SA"/>
        </w:rPr>
        <w:t>1、技术商务每个评分项分值设置不高于3分，项内分值差按等值分布。</w:t>
      </w:r>
    </w:p>
    <w:p>
      <w:pPr>
        <w:keepNext w:val="0"/>
        <w:keepLines w:val="0"/>
        <w:pageBreakBefore w:val="0"/>
        <w:widowControl/>
        <w:kinsoku/>
        <w:wordWrap/>
        <w:overflowPunct/>
        <w:topLinePunct w:val="0"/>
        <w:autoSpaceDE/>
        <w:autoSpaceDN/>
        <w:bidi w:val="0"/>
        <w:adjustRightInd/>
        <w:snapToGrid w:val="0"/>
        <w:spacing w:line="500" w:lineRule="exact"/>
        <w:ind w:firstLine="562" w:firstLineChars="200"/>
        <w:jc w:val="left"/>
        <w:textAlignment w:val="auto"/>
        <w:rPr>
          <w:rFonts w:hint="eastAsia" w:ascii="仿宋_GB2312" w:hAnsi="仿宋_GB2312" w:eastAsia="仿宋_GB2312" w:cs="仿宋_GB2312"/>
          <w:b/>
          <w:bCs/>
          <w:color w:val="auto"/>
          <w:kern w:val="0"/>
          <w:sz w:val="28"/>
          <w:szCs w:val="28"/>
          <w:shd w:val="clear" w:color="auto" w:fill="FFFFFF"/>
          <w:lang w:val="en-US" w:eastAsia="zh-CN" w:bidi="ar-SA"/>
        </w:rPr>
      </w:pPr>
      <w:r>
        <w:rPr>
          <w:rFonts w:hint="eastAsia" w:ascii="仿宋_GB2312" w:hAnsi="仿宋_GB2312" w:eastAsia="仿宋_GB2312" w:cs="仿宋_GB2312"/>
          <w:b/>
          <w:bCs/>
          <w:color w:val="auto"/>
          <w:kern w:val="0"/>
          <w:sz w:val="28"/>
          <w:szCs w:val="28"/>
          <w:shd w:val="clear" w:color="auto" w:fill="FFFFFF"/>
          <w:lang w:val="en-US" w:eastAsia="zh-CN" w:bidi="ar-SA"/>
        </w:rPr>
        <w:t>2、技术商务评分方法不得出现《泉州市财政局关于进一步完善泉州市政府采购负面清单的通知》（泉财采〔2022〕125号）中列举的问题。</w:t>
      </w:r>
    </w:p>
    <w:p>
      <w:pPr>
        <w:rPr>
          <w:rFonts w:hint="eastAsia" w:ascii="仿宋_GB2312" w:hAnsi="仿宋_GB2312" w:eastAsia="仿宋_GB2312" w:cs="仿宋_GB2312"/>
          <w:color w:val="auto"/>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45F92C99"/>
    <w:rsid w:val="03057412"/>
    <w:rsid w:val="034511A4"/>
    <w:rsid w:val="04B769D7"/>
    <w:rsid w:val="139A4CAE"/>
    <w:rsid w:val="31CB4E1F"/>
    <w:rsid w:val="3B2748DB"/>
    <w:rsid w:val="440535E6"/>
    <w:rsid w:val="45F92C99"/>
    <w:rsid w:val="535A5659"/>
    <w:rsid w:val="56F01EFD"/>
    <w:rsid w:val="65710EFD"/>
    <w:rsid w:val="743A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qFormat/>
    <w:uiPriority w:val="22"/>
    <w:rPr>
      <w:b/>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4252</Words>
  <Characters>4354</Characters>
  <Lines>0</Lines>
  <Paragraphs>0</Paragraphs>
  <TotalTime>4</TotalTime>
  <ScaleCrop>false</ScaleCrop>
  <LinksUpToDate>false</LinksUpToDate>
  <CharactersWithSpaces>4510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2022-10-20T02:35:00Z</dcterms:created>
  <dc:creator>骑着蜗牛上高速</dc:creator>
  <cp:lastModifiedBy>骑着蜗牛上高速</cp:lastModifiedBy>
  <dcterms:modified xsi:type="dcterms:W3CDTF">2023-06-21T08:57:56Z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7C93C33BF4A14F2E9105215DEAD5EFDE</vt:lpwstr>
  </property>
</Properties>
</file>