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泉州师范学院2024年学生公寓D区家具采购项目</w:t>
      </w:r>
    </w:p>
    <w:p>
      <w:pPr>
        <w:pStyle w:val="null3"/>
        <w:jc w:val="center"/>
        <w:outlineLvl w:val="2"/>
      </w:pPr>
      <w:r>
        <w:rPr>
          <w:b/>
          <w:sz w:val="28"/>
        </w:rPr>
        <w:t>备案编号：</w:t>
      </w:r>
      <w:r>
        <w:rPr>
          <w:b/>
          <w:sz w:val="28"/>
        </w:rPr>
        <w:t>CGXM-2024-350501-00921[2024]00902</w:t>
      </w:r>
    </w:p>
    <w:p>
      <w:pPr>
        <w:pStyle w:val="null3"/>
        <w:jc w:val="center"/>
        <w:outlineLvl w:val="2"/>
      </w:pPr>
      <w:r>
        <w:rPr>
          <w:b/>
          <w:sz w:val="28"/>
        </w:rPr>
        <w:t>项目编号：</w:t>
      </w:r>
      <w:r>
        <w:rPr>
          <w:b/>
          <w:sz w:val="28"/>
        </w:rPr>
        <w:t>[350501]QZSCGZX[GK]2024004</w:t>
      </w:r>
    </w:p>
    <w:p>
      <w:pPr>
        <w:pStyle w:val="null3"/>
        <w:jc w:val="center"/>
        <w:outlineLvl w:val="2"/>
      </w:pPr>
      <w:r>
        <w:rPr>
          <w:b/>
          <w:sz w:val="28"/>
        </w:rPr>
        <w:t>采购人：</w:t>
      </w:r>
      <w:r>
        <w:rPr>
          <w:b/>
          <w:sz w:val="28"/>
        </w:rPr>
        <w:t>泉州师范学院</w:t>
      </w:r>
    </w:p>
    <w:p>
      <w:pPr>
        <w:pStyle w:val="null3"/>
        <w:jc w:val="center"/>
        <w:outlineLvl w:val="2"/>
      </w:pPr>
      <w:r>
        <w:rPr>
          <w:b/>
          <w:sz w:val="28"/>
        </w:rPr>
        <w:t>代理机构：</w:t>
      </w:r>
      <w:r>
        <w:rPr>
          <w:b/>
          <w:sz w:val="28"/>
        </w:rPr>
        <w:t>泉州市政府采购中心</w:t>
      </w:r>
    </w:p>
    <w:p>
      <w:pPr>
        <w:pStyle w:val="null3"/>
        <w:jc w:val="center"/>
        <w:outlineLvl w:val="2"/>
      </w:pPr>
      <w:r>
        <w:rPr>
          <w:b/>
          <w:sz w:val="28"/>
        </w:rPr>
        <w:t>编制时间</w:t>
      </w:r>
      <w:r>
        <w:rPr>
          <w:b/>
          <w:sz w:val="28"/>
        </w:rPr>
        <w:t>：</w:t>
      </w:r>
      <w:r>
        <w:rPr>
          <w:b/>
          <w:sz w:val="28"/>
        </w:rPr>
        <w:t>2024年06月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泉州市政府采购中心</w:t>
      </w:r>
      <w:r>
        <w:rPr/>
        <w:t xml:space="preserve"> 采用公开招标方式组织 </w:t>
      </w:r>
      <w:r>
        <w:rPr/>
        <w:t>泉州师范学院2024年学生公寓D区家具采购项目</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CGXM-2024-350501-00921[2024]00902</w:t>
      </w:r>
    </w:p>
    <w:p>
      <w:pPr>
        <w:pStyle w:val="null3"/>
        <w:ind w:firstLine="480"/>
        <w:jc w:val="left"/>
        <w:outlineLvl w:val="2"/>
      </w:pPr>
      <w:r>
        <w:rPr>
          <w:b/>
          <w:sz w:val="28"/>
        </w:rPr>
        <w:t>2、项目编号</w:t>
      </w:r>
      <w:r>
        <w:rPr>
          <w:b/>
          <w:sz w:val="28"/>
        </w:rPr>
        <w:t>：</w:t>
      </w:r>
      <w:r>
        <w:rPr>
          <w:b/>
          <w:sz w:val="28"/>
        </w:rPr>
        <w:t>[350501]QZSCGZX[GK]2024004</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适用于采购包1。</w:t>
      </w:r>
    </w:p>
    <w:p>
      <w:pPr>
        <w:pStyle w:val="null3"/>
        <w:ind w:firstLine="960"/>
        <w:jc w:val="left"/>
      </w:pPr>
      <w:r>
        <w:rPr/>
        <w:t>节能产品：</w:t>
      </w:r>
      <w:r>
        <w:rPr/>
        <w:t>适用于采购包1，按照财库[2019]19号文所附品目清单执行。</w:t>
      </w:r>
    </w:p>
    <w:p>
      <w:pPr>
        <w:pStyle w:val="null3"/>
        <w:ind w:firstLine="960"/>
        <w:jc w:val="left"/>
      </w:pPr>
      <w:r>
        <w:rPr/>
        <w:t>环境标志产品：</w:t>
      </w:r>
      <w:r>
        <w:rPr/>
        <w:t>适用于采购包1，按照财库[2019]18号文所附品目清单执行。</w:t>
      </w:r>
    </w:p>
    <w:p>
      <w:pPr>
        <w:pStyle w:val="null3"/>
        <w:ind w:firstLine="960"/>
        <w:jc w:val="left"/>
      </w:pPr>
      <w:r>
        <w:rPr/>
        <w:t>促进中小企业发展的相关政策：</w:t>
      </w:r>
    </w:p>
    <w:p>
      <w:pPr>
        <w:pStyle w:val="null3"/>
        <w:ind w:firstLine="960"/>
        <w:jc w:val="left"/>
      </w:pPr>
      <w:r>
        <w:rPr/>
        <w:t>采购包1：【预留】专门面向中小企业</w:t>
      </w:r>
    </w:p>
    <w:p>
      <w:pPr>
        <w:pStyle w:val="null3"/>
        <w:jc w:val="left"/>
      </w:pPr>
      <w:r>
        <w:rPr/>
        <w:t>面向的企业规模：</w:t>
      </w:r>
      <w:r>
        <w:rPr/>
        <w:t>中小企业</w:t>
      </w:r>
    </w:p>
    <w:p>
      <w:pPr>
        <w:pStyle w:val="null3"/>
        <w:jc w:val="left"/>
      </w:pPr>
      <w:r>
        <w:rPr/>
        <w:t>预留形式：</w:t>
      </w:r>
      <w:r>
        <w:rPr/>
        <w:t>【预留】专门面向中小企业</w:t>
      </w:r>
    </w:p>
    <w:p>
      <w:pPr>
        <w:pStyle w:val="null3"/>
        <w:jc w:val="left"/>
      </w:pPr>
      <w:r>
        <w:rPr/>
        <w:t>预留比例：</w:t>
      </w:r>
      <w:r>
        <w:rPr/>
        <w:t>100%</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泉州师范学院</w:t>
      </w:r>
    </w:p>
    <w:p>
      <w:pPr>
        <w:pStyle w:val="null3"/>
        <w:ind w:firstLine="960"/>
        <w:jc w:val="left"/>
      </w:pPr>
      <w:r>
        <w:rPr/>
        <w:t xml:space="preserve"> 地址： </w:t>
      </w:r>
      <w:r>
        <w:rPr/>
        <w:t>泉州市丰泽区东海大街398号</w:t>
      </w:r>
    </w:p>
    <w:p>
      <w:pPr>
        <w:pStyle w:val="null3"/>
        <w:jc w:val="left"/>
      </w:pPr>
      <w:r>
        <w:rPr/>
        <w:t xml:space="preserve"> 邮编： </w:t>
      </w:r>
      <w:r>
        <w:rPr/>
        <w:t>362000</w:t>
      </w:r>
    </w:p>
    <w:p>
      <w:pPr>
        <w:pStyle w:val="null3"/>
        <w:jc w:val="left"/>
      </w:pPr>
      <w:r>
        <w:rPr/>
        <w:t xml:space="preserve"> 联系人： </w:t>
      </w:r>
      <w:r>
        <w:rPr/>
        <w:t>苏颖聪</w:t>
      </w:r>
    </w:p>
    <w:p>
      <w:pPr>
        <w:pStyle w:val="null3"/>
        <w:jc w:val="left"/>
      </w:pPr>
      <w:r>
        <w:rPr/>
        <w:t xml:space="preserve"> 联系电话： </w:t>
      </w:r>
      <w:r>
        <w:rPr/>
        <w:t>15559158887</w:t>
      </w:r>
    </w:p>
    <w:p>
      <w:pPr>
        <w:pStyle w:val="null3"/>
        <w:ind w:firstLine="480"/>
        <w:jc w:val="left"/>
        <w:outlineLvl w:val="2"/>
      </w:pPr>
      <w:r>
        <w:rPr>
          <w:b/>
          <w:sz w:val="28"/>
        </w:rPr>
        <w:t>12、代理机构</w:t>
      </w:r>
      <w:r>
        <w:rPr>
          <w:b/>
          <w:sz w:val="28"/>
        </w:rPr>
        <w:t>：</w:t>
      </w:r>
      <w:r>
        <w:rPr>
          <w:b/>
          <w:sz w:val="28"/>
        </w:rPr>
        <w:t>泉州市政府采购中心</w:t>
      </w:r>
    </w:p>
    <w:p>
      <w:pPr>
        <w:pStyle w:val="null3"/>
        <w:ind w:firstLine="960"/>
        <w:jc w:val="both"/>
      </w:pPr>
      <w:r>
        <w:rPr/>
        <w:t xml:space="preserve"> 地址： </w:t>
      </w:r>
      <w:r>
        <w:rPr/>
        <w:t>泉州市丰泽区海星街100号泉州市政务服务中心四楼</w:t>
      </w:r>
    </w:p>
    <w:p>
      <w:pPr>
        <w:pStyle w:val="null3"/>
        <w:jc w:val="both"/>
      </w:pPr>
      <w:r>
        <w:rPr/>
        <w:t xml:space="preserve"> 邮编： </w:t>
      </w:r>
      <w:r>
        <w:rPr/>
        <w:t>362000</w:t>
      </w:r>
    </w:p>
    <w:p>
      <w:pPr>
        <w:pStyle w:val="null3"/>
        <w:jc w:val="both"/>
      </w:pPr>
      <w:r>
        <w:rPr/>
        <w:t xml:space="preserve"> 联系人： </w:t>
      </w:r>
      <w:r>
        <w:rPr/>
        <w:t>吴彬彬</w:t>
      </w:r>
    </w:p>
    <w:p>
      <w:pPr>
        <w:pStyle w:val="null3"/>
        <w:jc w:val="both"/>
      </w:pPr>
      <w:r>
        <w:rPr/>
        <w:t xml:space="preserve"> 联系电话： </w:t>
      </w:r>
      <w:r>
        <w:rPr/>
        <w:t>0595-22132296</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泉州市政府采购中心</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6,286,600.00</w:t>
      </w:r>
    </w:p>
    <w:p>
      <w:pPr>
        <w:pStyle w:val="null3"/>
        <w:jc w:val="left"/>
      </w:pPr>
      <w:r>
        <w:rPr/>
        <w:t>采购包最高限价（元）: 6,286,600.00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三人组合家具</w:t>
            </w:r>
          </w:p>
        </w:tc>
        <w:tc>
          <w:tcPr>
            <w:tcW w:type="dxa" w:w="1187"/>
          </w:tcPr>
          <w:p>
            <w:pPr>
              <w:pStyle w:val="null3"/>
              <w:jc w:val="right"/>
            </w:pPr>
            <w:r>
              <w:rPr/>
              <w:t>792.00</w:t>
            </w:r>
          </w:p>
        </w:tc>
        <w:tc>
          <w:tcPr>
            <w:tcW w:type="dxa" w:w="1187"/>
          </w:tcPr>
          <w:p>
            <w:pPr>
              <w:pStyle w:val="null3"/>
              <w:jc w:val="right"/>
            </w:pPr>
            <w:r>
              <w:rPr/>
              <w:t>5,464,800.00</w:t>
            </w:r>
          </w:p>
        </w:tc>
        <w:tc>
          <w:tcPr>
            <w:tcW w:type="dxa" w:w="1187"/>
          </w:tcPr>
          <w:p>
            <w:pPr>
              <w:pStyle w:val="null3"/>
              <w:jc w:val="left"/>
            </w:pPr>
            <w:r>
              <w:rPr/>
              <w:t>套</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2</w:t>
            </w:r>
          </w:p>
        </w:tc>
        <w:tc>
          <w:tcPr>
            <w:tcW w:type="dxa" w:w="1187"/>
          </w:tcPr>
          <w:p>
            <w:pPr>
              <w:pStyle w:val="null3"/>
              <w:jc w:val="left"/>
            </w:pPr>
            <w:r>
              <w:rPr/>
              <w:t>二人组合家具</w:t>
            </w:r>
          </w:p>
        </w:tc>
        <w:tc>
          <w:tcPr>
            <w:tcW w:type="dxa" w:w="1187"/>
          </w:tcPr>
          <w:p>
            <w:pPr>
              <w:pStyle w:val="null3"/>
              <w:jc w:val="right"/>
            </w:pPr>
            <w:r>
              <w:rPr/>
              <w:t>20.00</w:t>
            </w:r>
          </w:p>
        </w:tc>
        <w:tc>
          <w:tcPr>
            <w:tcW w:type="dxa" w:w="1187"/>
          </w:tcPr>
          <w:p>
            <w:pPr>
              <w:pStyle w:val="null3"/>
              <w:jc w:val="right"/>
            </w:pPr>
            <w:r>
              <w:rPr/>
              <w:t>92,000.00</w:t>
            </w:r>
          </w:p>
        </w:tc>
        <w:tc>
          <w:tcPr>
            <w:tcW w:type="dxa" w:w="1187"/>
          </w:tcPr>
          <w:p>
            <w:pPr>
              <w:pStyle w:val="null3"/>
              <w:jc w:val="left"/>
            </w:pPr>
            <w:r>
              <w:rPr/>
              <w:t>套</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3</w:t>
            </w:r>
          </w:p>
        </w:tc>
        <w:tc>
          <w:tcPr>
            <w:tcW w:type="dxa" w:w="1187"/>
          </w:tcPr>
          <w:p>
            <w:pPr>
              <w:pStyle w:val="null3"/>
              <w:jc w:val="left"/>
            </w:pPr>
            <w:r>
              <w:rPr/>
              <w:t>单人组合家具</w:t>
            </w:r>
          </w:p>
        </w:tc>
        <w:tc>
          <w:tcPr>
            <w:tcW w:type="dxa" w:w="1187"/>
          </w:tcPr>
          <w:p>
            <w:pPr>
              <w:pStyle w:val="null3"/>
              <w:jc w:val="right"/>
            </w:pPr>
            <w:r>
              <w:rPr/>
              <w:t>16.00</w:t>
            </w:r>
          </w:p>
        </w:tc>
        <w:tc>
          <w:tcPr>
            <w:tcW w:type="dxa" w:w="1187"/>
          </w:tcPr>
          <w:p>
            <w:pPr>
              <w:pStyle w:val="null3"/>
              <w:jc w:val="right"/>
            </w:pPr>
            <w:r>
              <w:rPr/>
              <w:t>36,800.00</w:t>
            </w:r>
          </w:p>
        </w:tc>
        <w:tc>
          <w:tcPr>
            <w:tcW w:type="dxa" w:w="1187"/>
          </w:tcPr>
          <w:p>
            <w:pPr>
              <w:pStyle w:val="null3"/>
              <w:jc w:val="left"/>
            </w:pPr>
            <w:r>
              <w:rPr/>
              <w:t>套</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4</w:t>
            </w:r>
          </w:p>
        </w:tc>
        <w:tc>
          <w:tcPr>
            <w:tcW w:type="dxa" w:w="1187"/>
          </w:tcPr>
          <w:p>
            <w:pPr>
              <w:pStyle w:val="null3"/>
              <w:jc w:val="left"/>
            </w:pPr>
            <w:r>
              <w:rPr/>
              <w:t>三人位写字桌</w:t>
            </w:r>
          </w:p>
        </w:tc>
        <w:tc>
          <w:tcPr>
            <w:tcW w:type="dxa" w:w="1187"/>
          </w:tcPr>
          <w:p>
            <w:pPr>
              <w:pStyle w:val="null3"/>
              <w:jc w:val="right"/>
            </w:pPr>
            <w:r>
              <w:rPr/>
              <w:t>200.00</w:t>
            </w:r>
          </w:p>
        </w:tc>
        <w:tc>
          <w:tcPr>
            <w:tcW w:type="dxa" w:w="1187"/>
          </w:tcPr>
          <w:p>
            <w:pPr>
              <w:pStyle w:val="null3"/>
              <w:jc w:val="right"/>
            </w:pPr>
            <w:r>
              <w:rPr/>
              <w:t>300,000.00</w:t>
            </w:r>
          </w:p>
        </w:tc>
        <w:tc>
          <w:tcPr>
            <w:tcW w:type="dxa" w:w="1187"/>
          </w:tcPr>
          <w:p>
            <w:pPr>
              <w:pStyle w:val="null3"/>
              <w:jc w:val="left"/>
            </w:pPr>
            <w:r>
              <w:rPr/>
              <w:t>张</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5</w:t>
            </w:r>
          </w:p>
        </w:tc>
        <w:tc>
          <w:tcPr>
            <w:tcW w:type="dxa" w:w="1187"/>
          </w:tcPr>
          <w:p>
            <w:pPr>
              <w:pStyle w:val="null3"/>
              <w:jc w:val="left"/>
            </w:pPr>
            <w:r>
              <w:rPr/>
              <w:t>二人位写字桌</w:t>
            </w:r>
          </w:p>
        </w:tc>
        <w:tc>
          <w:tcPr>
            <w:tcW w:type="dxa" w:w="1187"/>
          </w:tcPr>
          <w:p>
            <w:pPr>
              <w:pStyle w:val="null3"/>
              <w:jc w:val="right"/>
            </w:pPr>
            <w:r>
              <w:rPr/>
              <w:t>50.00</w:t>
            </w:r>
          </w:p>
        </w:tc>
        <w:tc>
          <w:tcPr>
            <w:tcW w:type="dxa" w:w="1187"/>
          </w:tcPr>
          <w:p>
            <w:pPr>
              <w:pStyle w:val="null3"/>
              <w:jc w:val="right"/>
            </w:pPr>
            <w:r>
              <w:rPr/>
              <w:t>65,000.00</w:t>
            </w:r>
          </w:p>
        </w:tc>
        <w:tc>
          <w:tcPr>
            <w:tcW w:type="dxa" w:w="1187"/>
          </w:tcPr>
          <w:p>
            <w:pPr>
              <w:pStyle w:val="null3"/>
              <w:jc w:val="left"/>
            </w:pPr>
            <w:r>
              <w:rPr/>
              <w:t>张</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6</w:t>
            </w:r>
          </w:p>
        </w:tc>
        <w:tc>
          <w:tcPr>
            <w:tcW w:type="dxa" w:w="1187"/>
          </w:tcPr>
          <w:p>
            <w:pPr>
              <w:pStyle w:val="null3"/>
              <w:jc w:val="left"/>
            </w:pPr>
            <w:r>
              <w:rPr/>
              <w:t>公寓椅</w:t>
            </w:r>
          </w:p>
        </w:tc>
        <w:tc>
          <w:tcPr>
            <w:tcW w:type="dxa" w:w="1187"/>
          </w:tcPr>
          <w:p>
            <w:pPr>
              <w:pStyle w:val="null3"/>
              <w:jc w:val="right"/>
            </w:pPr>
            <w:r>
              <w:rPr/>
              <w:t>2,000.00</w:t>
            </w:r>
          </w:p>
        </w:tc>
        <w:tc>
          <w:tcPr>
            <w:tcW w:type="dxa" w:w="1187"/>
          </w:tcPr>
          <w:p>
            <w:pPr>
              <w:pStyle w:val="null3"/>
              <w:jc w:val="right"/>
            </w:pPr>
            <w:r>
              <w:rPr/>
              <w:t>198,000.00</w:t>
            </w:r>
          </w:p>
        </w:tc>
        <w:tc>
          <w:tcPr>
            <w:tcW w:type="dxa" w:w="1187"/>
          </w:tcPr>
          <w:p>
            <w:pPr>
              <w:pStyle w:val="null3"/>
              <w:jc w:val="left"/>
            </w:pPr>
            <w:r>
              <w:rPr/>
              <w:t>张</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7</w:t>
            </w:r>
          </w:p>
        </w:tc>
        <w:tc>
          <w:tcPr>
            <w:tcW w:type="dxa" w:w="1187"/>
          </w:tcPr>
          <w:p>
            <w:pPr>
              <w:pStyle w:val="null3"/>
              <w:jc w:val="left"/>
            </w:pPr>
            <w:r>
              <w:rPr/>
              <w:t>楼梯柜</w:t>
            </w:r>
          </w:p>
        </w:tc>
        <w:tc>
          <w:tcPr>
            <w:tcW w:type="dxa" w:w="1187"/>
          </w:tcPr>
          <w:p>
            <w:pPr>
              <w:pStyle w:val="null3"/>
              <w:jc w:val="right"/>
            </w:pPr>
            <w:r>
              <w:rPr/>
              <w:t>200.00</w:t>
            </w:r>
          </w:p>
        </w:tc>
        <w:tc>
          <w:tcPr>
            <w:tcW w:type="dxa" w:w="1187"/>
          </w:tcPr>
          <w:p>
            <w:pPr>
              <w:pStyle w:val="null3"/>
              <w:jc w:val="right"/>
            </w:pPr>
            <w:r>
              <w:rPr/>
              <w:t>130,000.00</w:t>
            </w:r>
          </w:p>
        </w:tc>
        <w:tc>
          <w:tcPr>
            <w:tcW w:type="dxa" w:w="1187"/>
          </w:tcPr>
          <w:p>
            <w:pPr>
              <w:pStyle w:val="null3"/>
              <w:jc w:val="left"/>
            </w:pPr>
            <w:r>
              <w:rPr/>
              <w:t>个</w:t>
            </w:r>
          </w:p>
        </w:tc>
        <w:tc>
          <w:tcPr>
            <w:tcW w:type="dxa" w:w="1187"/>
          </w:tcPr>
          <w:p>
            <w:pPr>
              <w:pStyle w:val="null3"/>
              <w:jc w:val="left"/>
            </w:pPr>
            <w:r>
              <w:rPr/>
              <w:t>工业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180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采购包1：3名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若出现并列的情形[即评标总得分（FA）相同]，则其中产品拥有节能、减排、环境标志认证数量最多的投标人将被推荐为中标候选人，若拥有认证数量相同，则其中技术部分得分高的投标人将被推荐为中标候选人，若技术部分得分相同，则评标价（即价格扣除后的投标报价）较低的投标人将被推荐为中标候选人，若评标价相同，则通过抽签方式推荐中标候选人。</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自中标通知书发出之日起20个日历日内。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泉州市政府采购中心</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泉州市财政局政府采购监督管理办公室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本项目不收取代理服务费</w:t>
            </w:r>
          </w:p>
          <w:p>
            <w:pPr>
              <w:pStyle w:val="null3"/>
              <w:jc w:val="left"/>
            </w:pPr>
            <w:r>
              <w:rPr/>
              <w:t xml:space="preserve"> (2)其他：</w:t>
            </w:r>
          </w:p>
          <w:p>
            <w:pPr>
              <w:pStyle w:val="null3"/>
              <w:jc w:val="left"/>
            </w:pPr>
            <w:r>
              <w:rPr/>
              <w:t>“远程不见面开标”注意事项： 1、本项目不要求投标人递交纸质投标文件，招标文件中关于投标人须在开标现场完成的事项，包括但不限于签字、检查及确认等各项要求，不适用于本项目； 2、本项目采用“远程不见面开标”，投标人可不前往开标现场，但应确保自身设施、设备、网络环境状况良好，在开标时自行登录采购系统，线上观看开标流程，并按规定在开标时段对投标文件进行远程解密、远程签章。投标人前往开标现场的，应自行携带可解密、签章的设备，开标现场不单独提供解密、签章设备，招标文件中与本处不符的，以此处为准。 远程开标操作手册详见https://zfcg.czt.fujian.gov.cn/freecms/site/fujian/1070/info/2023/22002910.html，在操作过程中如有疑问请咨询400-161-2666、0595-22135050、0595-22132281。投标人因自身原因造成无法正常观看开标流程、远程解密或签章的，后果由投标人自行承担； 3、在规定的时间内正确提交电子投标文件的投标人在开标时将由系统判定签到情况，具体信息以福建省政府采购网上公开信息系统所示为准； 4、投标人应在远程解密开启后20分钟内使用CA数字证书进行投标文件的解密操作，逾期未解密的视为放弃投标； 5、唱标结束后，投标人可对开标结果进行签章，并在远程签章开放后5分钟内完成，逾期未签章的视为认同开标结果； 6、远程解密及远程签章的开放起始时间均在开标过程中临时开启，请投标人务必密切关注实时开标流程，并根据流程在系统内按时操作，否则产生的后果由投标人自行承担； 7、开、评标期间，投标人代表应保证采购系统中预留的联系方式畅通，以便随时接收并答复评标委员会发起的澄清等事项，具体操作过程请下载供应商操作手册查看。</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泉州市政府采购中心</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泉州市政府采购中心</w:t>
      </w:r>
      <w:r>
        <w:rPr/>
        <w:t xml:space="preserve"> 将在投标截止时间至少15个日历日前，在招标文件载明的指定媒体以更正公告的形式发布澄清或修改的内容。不足15个日历日的， </w:t>
      </w:r>
      <w:r>
        <w:rPr/>
        <w:t>泉州市政府采购中心</w:t>
      </w:r>
      <w:r>
        <w:rPr/>
        <w:t xml:space="preserve"> 将顺延投标截止时间及开标时间， </w:t>
      </w:r>
      <w:r>
        <w:rPr/>
        <w:t>泉州市政府采购中心</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泉州市政府采购中心</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泉州市政府采购中心</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泉州市政府采购中心</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泉州市政府采购中心</w:t>
      </w:r>
      <w:r>
        <w:rPr/>
        <w:t xml:space="preserve"> 可终止招标并发布终止公告。</w:t>
      </w:r>
    </w:p>
    <w:p>
      <w:pPr>
        <w:pStyle w:val="null3"/>
        <w:ind w:firstLine="480"/>
        <w:jc w:val="both"/>
      </w:pPr>
      <w:r>
        <w:rPr/>
        <w:t xml:space="preserve">8.2终止公告作为 </w:t>
      </w:r>
      <w:r>
        <w:rPr/>
        <w:t>泉州市政府采购中心</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泉州市政府采购中心</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泉州市政府采购中心</w:t>
      </w:r>
      <w:r>
        <w:rPr/>
        <w:t xml:space="preserve"> 可于投标有效期届满之前书面要求投标人延长投标有效期，投标人应在 </w:t>
      </w:r>
      <w:r>
        <w:rPr/>
        <w:t>泉州市政府采购中心</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泉州市政府采购中心</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泉州市政府采购中心</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泉州市政府采购中心</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泉州市政府采购中心</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泉州市政府采购中心</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泉州市政府采购中心</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泉州市政府采购中心</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泉州市政府采购中心</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泉州市政府采购中心</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泉州市政府采购中心</w:t>
      </w:r>
      <w:r>
        <w:rPr/>
        <w:t xml:space="preserve"> 提出询问， </w:t>
      </w:r>
      <w:r>
        <w:rPr/>
        <w:t>泉州市政府采购中心</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泉州市政府采购中心</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泉州市政府采购中心</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由泉州市政府采购中心派出的工作人员至少1人，</w:t>
      </w:r>
      <w:r>
        <w:rPr/>
        <w:t>其余1人可为采购人代表或泉州市政府采购中心的工作人员。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详见招标文件</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泉州市政府采购中心</w:t>
      </w:r>
      <w:r>
        <w:rPr/>
        <w:t xml:space="preserve"> 统一对外发布。</w:t>
      </w:r>
    </w:p>
    <w:p>
      <w:pPr>
        <w:pStyle w:val="null3"/>
        <w:ind w:firstLine="480"/>
        <w:jc w:val="both"/>
      </w:pPr>
      <w:r>
        <w:rPr/>
        <w:t xml:space="preserve">3、资格审查合格的投标人不足三家的，不进行评标。同时，本次采购活动结束， </w:t>
      </w:r>
      <w:r>
        <w:rPr/>
        <w:t>泉州市政府采购中心</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泉州市政府采购中心</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泉州市政府采购中心</w:t>
      </w:r>
      <w:r>
        <w:rPr/>
        <w:t xml:space="preserve"> 统一对外发布。</w:t>
      </w:r>
    </w:p>
    <w:p>
      <w:pPr>
        <w:pStyle w:val="null3"/>
        <w:ind w:firstLine="480"/>
        <w:jc w:val="both"/>
      </w:pPr>
      <w:r>
        <w:rPr/>
        <w:t xml:space="preserve">②对 </w:t>
      </w:r>
      <w:r>
        <w:rPr/>
        <w:t>泉州市政府采购中心</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详见招标文件</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详见招标文件</w:t>
            </w:r>
          </w:p>
        </w:tc>
      </w:tr>
    </w:tbl>
    <w:p>
      <w:pPr>
        <w:pStyle w:val="null3"/>
        <w:jc w:val="left"/>
      </w:pPr>
      <w:r>
        <w:rPr/>
        <w:t>附加符合性：无</w:t>
      </w:r>
    </w:p>
    <w:p>
      <w:pPr>
        <w:pStyle w:val="null3"/>
        <w:jc w:val="left"/>
      </w:pPr>
      <w:r>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详见招标文件</w:t>
            </w:r>
          </w:p>
        </w:tc>
      </w:tr>
    </w:tbl>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评审得分相同的，则其中技术部分得分高的投标人参加评标，若技术部分得分相同，则评标委员会通过抽签方式确定一个投标人参加评标。</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泉州市政府采购中心</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w:t>
      </w:r>
      <w:r>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t>各项评审因素的设置如下：</w:t>
      </w:r>
    </w:p>
    <w:p>
      <w:pPr>
        <w:pStyle w:val="null3"/>
        <w:jc w:val="both"/>
      </w:pPr>
      <w:r>
        <w:rPr/>
        <w:t>价格项（F1×A1）满分为30.00分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技术项（F2×A2）满分为55.00分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w:t>
            </w:r>
          </w:p>
        </w:tc>
        <w:tc>
          <w:tcPr>
            <w:tcW w:type="dxa" w:w="831"/>
          </w:tcPr>
          <w:p>
            <w:pPr>
              <w:pStyle w:val="null3"/>
              <w:jc w:val="right"/>
            </w:pPr>
            <w:r>
              <w:rPr/>
              <w:t>20.00</w:t>
            </w:r>
          </w:p>
        </w:tc>
        <w:tc>
          <w:tcPr>
            <w:tcW w:type="dxa" w:w="4153"/>
          </w:tcPr>
          <w:p>
            <w:pPr>
              <w:pStyle w:val="null3"/>
              <w:jc w:val="both"/>
            </w:pPr>
            <w:r>
              <w:rPr/>
              <w:t>根据各投标人所提供的技术和服务要求响应表，并结合所投产品的佐证材料等方面情况，对照招标文件的要求，由评委按以下标准评定：全部满足招标文件要求的得 20 分。①标注“★”的内容为关键性技术条款，每负偏离或不响应一项视为投标无效；②标注“■”的内容为重要技术条款项（共20项），每负偏离一项扣1分，扣完为止。</w:t>
            </w:r>
          </w:p>
        </w:tc>
      </w:tr>
      <w:tr>
        <w:tc>
          <w:tcPr>
            <w:tcW w:type="dxa" w:w="3322"/>
          </w:tcPr>
          <w:p>
            <w:pPr>
              <w:pStyle w:val="null3"/>
              <w:jc w:val="both"/>
            </w:pPr>
            <w:r>
              <w:rPr/>
              <w:t>2</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 具有组合公寓床（含桌、柜）抽样检测报告包括以下检测内容： ①甲醛释放量≤0.2mg/L；结构安全；木制件表面涂层/覆面材料； ②金属件表面涂层理化性能；桌类力学性能；柜类力学性能； ③床类力学性能；书架力学性能；扶梯力学性能；安全栏力学性能； ④家具涂层可迁移元素：铅：应未检出、镉：应未检出、铬：应未检出、汞：≤3.0 mg/kg、锑:≤0.6mg/kg、钡:≤240mg/kg、硒：≤5mg/kg、砷：应未检出。 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3</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 具有公寓椅 抽样检测报告包括以下检测内容： ①耐腐蚀试验：铜加速乙酸盐雾试验-120h耐腐蚀等级达到10级、中性盐雾试验-120h耐腐蚀等级达到10级、乙酸盐雾试验-120h耐腐蚀等级达到10级；耐霉菌性：耐霉菌性等级-黑曲霉等级为0级；抗菌性能：抑菌率(抗菌率)-大肠杆菌(大肠埃希氏菌）≥99%；抗病毒性能(24h)：j甲型流感病毒H1N1≥2.5； ②热老化试验(24h)应无明显变化；六价铬含量应未检出；有害物质限量要求：邻苯二甲酸酯-DBP、BBP、DEHP、DNOP、DINP、DIDP应均未检出；重金属-可溶性铅应未检出、重金属-可溶性镉应未检出、重金属-可溶性铬应未检出、重金属-可溶性汞应未检出、多环芳烃-苯并[a]芘应未检出、多环芳烃-16种多环芳烃(PAH)总量应未检出、多溴联苯(PBB)应未检出、多溴二苯醚(PBDE)应未检出; ③塑料材料理化性能：耐老化性-室内用500h冲击强度的保持率≥90%、耐老化性-室内用500h外观颜色变色评级≥3级、冲击强度≥50000J/m2；塑料件外观应无裂纹、明显变形、缩水、针孔，应无凹陷、飞边、折皱、疙瘩，应无气泡、杂质、伤痕、白印，表面应光洁，应无划痕、毛刺、拉毛、污渍、应无明显色差；产品有害物质：甲醛释放量(气候箱法)-木家具等其他家具应未检出、苯应未检出、甲苯应未检出、二甲苯应未检出、总挥发性有机化合物(TVOC)应未检出、家具涂层可迁移元素：铅（Pb)应未检出、镉(Cd)应未检出、铬(Cr)应未检出、汞(Hg)应未检出、锑(Sb)应未检出、钡(Ba)应未检出、硒(Se)应未检出、砷(As)应未检出；④燃烧性能：软质家具和硬质家具-燃烧性能等级-B1-硬质家具热释放速率峰值≤190kw、5min内总热释放量≤30MJ、最大烟密度≤70%；金属拉伸性能试验抗拉强度400~500MPa;金属拉伸性能试验：下屈服强度(屈服强度)≥400MPa、断后伸长率≥22%；化学成分C≤0.15%、Si≤0.26%、Mn≤0.60%、P≤0.02%、S≤0.02%；洛氏硬度(HRB)≥75。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4</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 具有热熔胶抽样检测报告包括以下检测内容： ①本体型胶粘剂中有害物质限量值：总挥发有机化合物应未检出、苯应未检出、甲苯+二甲苯应未检出、游离甲醛≤0.03g/kg，二氯甲烷应未检出、1,2-二氯乙烷应未检出、1,1,2-三氯乙烷应未检出、三氯乙烯应未检出； ②本体型建筑胶粘剂中有毒有害物质的限量要求：游离甲苯二异氰酸酯应未检出。全部满足或优于以上标准（参数）得1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5</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 具有导轨抽样检测报告包括以下检测内容： ①家具中可溶性重金属：锑应未检出、砷应未检出、钡应未检出、硒应未检出；家具中六价铬应未检出；耐霉菌性：耐霉菌性等级-巴西曲霉等级应达到0级；抗菌性能：抑菌率(抗菌率)-大肠杆菌(大肠埃希氏菌)≥99.94%；功能：耐久性(家用型:循环次数40000次)； ②所有组件或连接件不应断裂损坏;通过手触压证实,用于紧固的组件不应松动所有零部件不应有影响正常运作的变形或磨损;五金连接件不应松动;所有组件的功能不应损害;抽屉导轨及其组件应能正常工作;耐人工气候老化(100h)应达到0级(无失光、变色、粉化、泛金、斑点、沾污、裂纹、起泡、脱落、生锈) ； ③产品有害物质-家具涂层可迁移元素：铅应未检出、镉应未检出、铬应未检出、汞应未检出、锑应未检出、钡应未检出、硒应未检出、砷应未检出；燃烧性能：阻燃性能等级-阻燃1级(家具/组件)-组件/其他家具热释放速率峰值≤136kw、5min内放出的总能量≤23MJ、最大烟密度≤45%； ④金属拉伸性能试验：抗拉强度400~500MPa；金属拉伸性能试验；下屈服强度(屈服强度）≥390MPa、断后伸长率≥22%；磁粉检测(无损探伤)等级为≥1级；化学成分C≤0.15%、Si≤0.23%、Mn≤0.60%、P≤0.02%、S≤0.015%。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6</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根据投标人提供的由有检测资质部门出具的检测报告进行评分：具有生态板抽样检测报告包括以下检测内容：①甲醛释放量分级要求≤0.04mg/m3 ；苯≤8μg/m3 、甲苯≤16μ g/m3 、二甲苯≤16μg/m3 、总挥发性有机化合物≤80μg/m3 。②防霉性能：黑曲霉、土曲霉、宛氏拟青霉、绳状青霉、出芽短梗霉、球毛壳达到 0 级（0 级最好）。含水率：合格试件数（单个试件值5-16%）与试件总数之比达到100%；胶合强度：合格试件数（单个试件≥0.70MPa）与有效试件总数之比达到100%。全部满足或优于以上标准（参数）得2分，缺一项扣1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7</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根据投标人提供的由有检测资质部门出具的检测报告进行评分：具有饰面多层板 抽样检测报告包括以下检测内容：①含水率≤10%；甲醛释放量≤0.02mg/m³；②抗菌性能：抑菌率 (金黄色葡萄球菌≥99%、铜绿假单胞菌≥99%)；防霉菌性能：防霉菌等级(黑曲霉0级，土曲霉 0级)。全部满足或优于以上标准（参数）得2分，缺一项扣1分。须具有CMA或CNAS认证标识的检测报告，需在国家认证认可公共信息服务平台上查询并附检测机构的官网查询截图及网址链接，否则不予认可）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8</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根据投标人提供的由有检测资质部门出具的检测报告进行评分：具有桌面 抽样检测报告包括以下检测内容：①甲醛释放量（干燥器法）≤0.2 mg/L；木材含水率≥9%；外观要求：应无贯通裂缝；木家具中不应有虫蛀现象；外表应无腐朽材，内表轻微腐朽面积不应超过零件面积的20%；外表和存放物品部位用材应无树脂囊、外表节子宽度不应超过材宽的1/3，直径不超过12mm。（特除设计要求除外）；②防霉性能： 防霉菌等级-巴西曲霉应为0级。全部满足或优于以上标准（参数）得1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9</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具有三聚氰胺饰面纸检测报告包括以下检测内容：①甲醛去除率≥90%。②防霉性能：黑曲霉、土曲霉、宛氏拟青霉、绳状青霉、出芽短梗霉、球毛壳达到 0 级（0 级最好）。 全部满足或优于以上标准（参数）得1分，缺一项扣0.5分。（须具有CMA或CNAS认证标识的检测报告，需在国家认证认可公共信息服务平台上查询并附检测机构的官网查询截图及网址链接，否则不予认可）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10</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根据投标人提供的由有检测资质部门出具的检测报告进行评分：具有封边条抽样检测报告包括以下检测内容：①理化性能：耐干热性、耐磨性、耐开裂性（耐龟裂性）≥1 级、耐老化性、耐冷热循环性、耐光色牢度≥4级；有害物质限量：甲醛释放量≤0.1mg/L、氯乙烯单体&lt;0.1mg/kg、邻苯二甲酸脂 (DBP、BBP、DEHP、DNOP、DINP、DIDP) 的总量≤0.1%、多溴联苯未检出、多溴联苯醚未检出；②抗菌性能：抗菌性能值（肺炎克雷伯氏菌）≥1；防霉性能：防霉等级（可可球二孢0级）。 全部满足或优于以上标准（参数）得1分，缺一项扣0.5分。（须具有CMA或CNAS认证标识的检测报告，需在国家认证认可公共信息服务平台上查询并附检测机构的官网查询截图及网址链接，否则不予认可）。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11</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根据投标人提供的由有检测资质部门出具的检测报告进行评分：具有供应商提供具有PP塑料一次性注塑整体成型嵌板材床护栏 抽样检测报告包括以下检测内容：①盐雾试验(24h)质量变化≤1.3%；洛氏硬度≥55.0；抗菌性能：抗菌性能值-金黄色葡萄球菌≥3；防霉性能：防霉等级-黑曲霉防霉等级应达到0级；有害物质限量要求：邻苯二甲酸酯-DBP未检出、BBP未检出、DEHP未检出、DNOP未检出、DINP未检出、DIDP未检出； ②塑料材料理化性能；耐老化性-室内用500h冲击强度的保持率≥85%、耐老化性-室内用500h外观颜色变色评级≥3级、冲击强度≥50000J/㎡；塑料件外观应无裂纹、明显变形、缩水、针孔，应无凹陷、飞边、折皱、疙瘩，应无气泡、杂质、伤痕、白印，表面应光洁、应无划痕、毛刺、拉毛、污渍，应无明显色差； ③燃烧性能；阻燃性能等级-阻燃1级(塑料/橡胶)热释放速率峰值≤145kW/m、阻燃性能等级-阻燃1级(塑料/橡胶)烟密度等级(SDR)≤20；多溴联苯未检出；维卡软化温度≥140℃;密度≥0.95g/cm³； ④化学性能邻苯二甲酸二(2-乙基)已基酯(DEHP)、邻苯二甲酸二丁酯(DBP)、邻苯二甲酸丁苄酯(BBP）、邻苯二甲酸二异壬酯(DINP)、邻苯二甲酸二正辛酯(DNOP)、邻苯二甲酸二异癸酯(DIDP)均未检出；熔体质量流动速率≥6.0g/10min；弯曲强度≥33MPa；负荷变形温度≥105℃。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12</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根据投标人提供的由有检测资质部门出具的检测报告进行评分：具有塑粉抽样检测报告包括以下检测内容： ①家具中可溶性重金属:锑应未检出、砷应未检出、钡应未检出、硒应未检出；家具中六价铬应未检出； ②抗霉菌性能：长霉等级-黑曲霉长霉等级应达到0级；耐湿热(200h)；应无生锈、起泡、变色、开裂；抗细菌性能；抗细菌率(抗菌率)-产气肠杆菌≥99.92%； ③I型1类热固性粉末涂料的要求：外观色泽应均匀，无异物，呈松散粉末状；涂膜外观应正常、附着力-干附着力为0级、铅笔硬度(内聚破坏中擦伤)≥3H、耐酸性[3%(质量分数)盐酸溶液]240h无异常、耐碱性[5%(质量分数)氢氧化钠溶液]-室内用168h无异常；耐盐雾性-中性盐雾：500h划痕处单向腐蚀蔓延宽度≤2.0mm,未划痕区无起泡、生锈、开裂、剥落等异常现象； ④玩具材料中可迁移元素的最大限量要求：锑(Sb)应未检出、砷(As）应未检出、钡(Ba)应未检出、镉(Cd)应未检出、铬(Cr)应未检出、铅(Pb)应未检出、汞(Hg)应未检出、硒(Se)应未检出；有害物质限量的限量值要求：总铅(Pb)含量(限色漆、腻子和醇酸清漆)应未检出、可溶性重金属含量(限色漆、腻子和醇酸清漆)-镉(Cd)应未检出、铬(Cr)应未检出、汞(Hg)应未检出；皮肤刺激性：在试验条件下受试物对新兰兔急性皮肤刺激性试验结果为无刺激性。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13</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根据投标人提供的由有检测资质部门出具的检测报告进行评分：具有钢管 抽样基数≥200件的抽样检测报告包括以下检测内容：①硬度≥4H;②铜加速乙酸盐雾≥600小时，镀层本身的耐腐蚀等级≥10级, 镀层对基体的保护等级≥10级。 全部满足或优于以上标准（参数）得1分，缺一项扣0.5分。（须具有CMA或CNAS认证标识的检测报告，需在国家认证认可公共信息服务平台上查询并附检测机构的官网查询截图及网址链接，否则不予认可）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14</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具有脚踏板抽样检测报告包括以下检测内容：①盐雾试验(24h)质量变化≤0.9%;环境属性：挥发性气体-有机挥发物总含量(TVOC)未检出；抗菌性能：抗菌性能值-金黄色葡萄球菌≥3；防霉性能：防霉等级-黑曲霉防霉等级应达到0级； ②有害物质限量要求：邻苯二甲酸酯-DBP未检出、BBP未检出、DEHP未检出、DNOP未检出、DINP未检出、DIDP未检出；塑料材料理化性能：耐老化性-室内用500h冲击强度的保持率≥89%、耐老化性-室内用500h外观颜色变色评级≥3级、冲击强度≥50000J/㎡； ③塑料件外观应无裂纹、明显变形、缩水、针孔，应无凹陷、飞边、折皱、疙瘩，应无气泡、杂质、伤痕、白印、表面应光洁,无划痕、毛刺、拉毛、污渍，应无明显色差；燃烧性能：阻燃性能等级-阻燃1级(塑料/橡胶)热释放速率峰值≤145kW/㎡、阻燃性能等级-阻燃1级(塑料/橡胶)烟密度等级(SDR)≤10；多溴联苯未检出；维卡软化温度≥140℃;密度≥0.95g/cm³； ④化学性能：邻苯二甲酸二(2-乙基)已基酯(DEHP)、邻苯二甲酸二丁酯(DBP)、邻苯二甲酸丁苄酯(BBP）、邻苯二甲酸二异壬酯(DINP)、邻苯二甲酸二正辛酯(DNOP)、邻苯二甲酸二异癸酯(DIDP)均未检出；熔体质量流动速率≥6.0g/10min；弯曲强度≥33MPa；负荷变形温度≥115℃。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15</w:t>
            </w:r>
          </w:p>
        </w:tc>
        <w:tc>
          <w:tcPr>
            <w:tcW w:type="dxa" w:w="831"/>
          </w:tcPr>
          <w:p>
            <w:pPr>
              <w:pStyle w:val="null3"/>
              <w:jc w:val="right"/>
            </w:pPr>
            <w:r>
              <w:rPr/>
              <w:t>2.00</w:t>
            </w:r>
          </w:p>
        </w:tc>
        <w:tc>
          <w:tcPr>
            <w:tcW w:type="dxa" w:w="4153"/>
          </w:tcPr>
          <w:p>
            <w:pPr>
              <w:pStyle w:val="null3"/>
              <w:jc w:val="both"/>
            </w:pPr>
            <w:r>
              <w:rPr/>
              <w:t>根据投标人提供的由有检测资质部门出具的检测报告进行评分：具有脚套抽样检测报告包括以下检测内容： ①塑料材料理化性能、耐老化性≥500h； ②有害物质限量要求：重金属（可溶性铅≤10mg/kg、可溶性镉未检出、可溶性铬未检出、可溶性汞未检出、多环芳烃（苯并[a]芘未检出、16 种多环芳烃 (PAH)总量未检出）； ③抗菌性能：抗菌率（金黄色葡萄球菌）≥99%、（铜绿假单胞菌）≥99%； ④防霉菌性能：防霉菌等级（黑曲霉0级、土曲霉0级）。全部满足或优于以上标准（参数）得2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16</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根据投标人提供的由有检测资质部门出具的检测报告进行评分：具有三卡式连接件抽样检测报告包括以下检测内容： ①家具中可溶性重金属锑应未检出、砷应未检出、钡应未检出、硒应未检出；家具中六价铬应未检出； ②耐腐蚀试验：铜加速乙酸盐雾试验≥120h耐腐蚀等级≥10级、中性盐雾试验≥120h耐腐蚀等级≥10级、乙酸盐雾试验≥120h耐腐蚀等级≥10级；耐霉菌性：耐霉菌性等级-黑曲霉耐霉菌性等级为0级；抗菌性能：抑菌率(抗菌率)-金黄色葡萄球菌≥99%；耐人工气候老化(120h）等级应达到0级(无失光、变色、粉化、泛金、斑点、沾污、裂纹、起泡、脱落、生锈)； ③品质属性：产品有害物质家具涂层可迁移元素：铅(Pb)应未检出、镉(Cd)应未检出、铬(Cr)应未检出、汞(Hg)应未检出、锑(Sb)应未检出、钡(Ba）应未检出、硒(Se)应未检出、砷(As)应未检出；燃烧性能：公共场所阻燃家具及组件-阻燃性能等级-阻燃1级(家具/组件)-组件/其他家具热释放速率峰值≤105kw、5min内放出的总能量≤28MJ、最大烟密度≤30%；外观性能要求：金属件-喷涂层：涂层应无漏喷、锈蚀和脱色、掉色现象，涂层应光滑均匀，色泽一致，应无流挂、疙瘩、皱皮、飞漆等缺陷； ④理化性能要求：金属喷漆(塑)涂层：硬度≥5H、冲击强度：冲击高度400mm,应无剥落、裂纹、皱纹；耐腐蚀100h内，观察在溶液中样板上划道两侧3mm以外，应无鼓泡产生、耐腐蚀100h后，检查划道两侧3mm外，应无锈迹、剥落、起皱、变色和失光等现象，附着力应不低于1级；金属拉伸性能试验：抗拉强度400~500MPa；金属拉伸性能试验：下屈服强度(屈服强度)≥350MPa、断后伸长率≥22%；化学成分C≤0.15%、Si≤0.26%、Mn≤0.60%、P≤0.02%、S≤0.02%；洛氏硬度(HRB)≥77。 全部满足或优于以上标准（参数）得1分，缺一项扣0.25分。（须具有CMA或CNAS认证标识的检测报告，需在国家认证认可公共信息服务平台上查询并附检测机构的官网查询截图及网址链接，否则不予认可）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17</w:t>
            </w:r>
          </w:p>
        </w:tc>
        <w:tc>
          <w:tcPr>
            <w:tcW w:type="dxa" w:w="831"/>
          </w:tcPr>
          <w:p>
            <w:pPr>
              <w:pStyle w:val="null3"/>
              <w:jc w:val="right"/>
            </w:pPr>
            <w:r>
              <w:rPr/>
              <w:t>1.00</w:t>
            </w:r>
          </w:p>
        </w:tc>
        <w:tc>
          <w:tcPr>
            <w:tcW w:type="dxa" w:w="4153"/>
          </w:tcPr>
          <w:p>
            <w:pPr>
              <w:pStyle w:val="null3"/>
              <w:jc w:val="both"/>
            </w:pPr>
            <w:r>
              <w:rPr/>
              <w:t>根据投标人提供的由有检测资质部门出具的检测报告进行评分：具有床板抽样检测报告包括以下检测内容：①木材含水率≤12%，木制件外观②苯、甲苯、二甲苯、总挥发性有机化合物均未检出。 全部满足或优于以上标准（参数）得1分,缺一项扣0.5分。（须具有CMA或CNAS认证标识的检测报告，需在国家认证认可公共信息服务平台上查询并附检测机构的官网查询截图及网址链接，否则不予认可）</w:t>
            </w:r>
          </w:p>
        </w:tc>
      </w:tr>
      <w:tr>
        <w:tc>
          <w:tcPr>
            <w:tcW w:type="dxa" w:w="3322"/>
          </w:tcPr>
          <w:p>
            <w:pPr>
              <w:pStyle w:val="null3"/>
              <w:jc w:val="both"/>
            </w:pPr>
            <w:r>
              <w:rPr/>
              <w:t>18</w:t>
            </w:r>
          </w:p>
        </w:tc>
        <w:tc>
          <w:tcPr>
            <w:tcW w:type="dxa" w:w="831"/>
          </w:tcPr>
          <w:p>
            <w:pPr>
              <w:pStyle w:val="null3"/>
              <w:jc w:val="right"/>
            </w:pPr>
            <w:r>
              <w:rPr/>
              <w:t>2.00</w:t>
            </w:r>
          </w:p>
        </w:tc>
        <w:tc>
          <w:tcPr>
            <w:tcW w:type="dxa" w:w="4153"/>
          </w:tcPr>
          <w:p>
            <w:pPr>
              <w:pStyle w:val="null3"/>
              <w:jc w:val="both"/>
            </w:pPr>
            <w:r>
              <w:rPr/>
              <w:t>投标产品制造商具有钢制生产线和木制家具生产线的设备：1、全自动喷涂流水线2、高速电脑裁板机锯3、金属精密激光切割机4、数控雕刻机5、激光红外线侧孔机6、真空覆膜机7、全自动送料六排钻8、自动仿型铣机9、智能化金属焊接工作站10、全自动数控双工位横梁焊接机。全部满足的得2分，缺一项扣0.2分，扣至本项不得分为止。注供应商须提供以下证明材料：（1）生产设备购买依据（设备购置发票，购置单位须为供应商或投标产品制造商）；(2)供应商须提供生产设备实景照片；(3)设备名称不完全相同，但属同类设备的视同符合对应评分指标，供应商应在响应文件中提供该同类设备的主要功能阐述以利于评标委员会判断。未按上述要求提供证明材料的，对应评分不予认可。</w:t>
            </w:r>
          </w:p>
        </w:tc>
      </w:tr>
      <w:tr>
        <w:tc>
          <w:tcPr>
            <w:tcW w:type="dxa" w:w="3322"/>
          </w:tcPr>
          <w:p>
            <w:pPr>
              <w:pStyle w:val="null3"/>
              <w:jc w:val="both"/>
            </w:pPr>
            <w:r>
              <w:rPr/>
              <w:t>19</w:t>
            </w:r>
          </w:p>
        </w:tc>
        <w:tc>
          <w:tcPr>
            <w:tcW w:type="dxa" w:w="831"/>
          </w:tcPr>
          <w:p>
            <w:pPr>
              <w:pStyle w:val="null3"/>
              <w:jc w:val="right"/>
            </w:pPr>
            <w:r>
              <w:rPr/>
              <w:t>2.00</w:t>
            </w:r>
          </w:p>
        </w:tc>
        <w:tc>
          <w:tcPr>
            <w:tcW w:type="dxa" w:w="4153"/>
          </w:tcPr>
          <w:p>
            <w:pPr>
              <w:pStyle w:val="null3"/>
              <w:jc w:val="both"/>
            </w:pPr>
            <w:r>
              <w:rPr/>
              <w:t>投标人根据招标文件采购需求满足技术参数 （1）提供产品设计方案的得1分，否则不得分；（2）提供细节实物图的得0.5分，否则不得分；（3）提供整体分解组装说明图的得0.5分，否则不得分。</w:t>
            </w:r>
          </w:p>
        </w:tc>
      </w:tr>
      <w:tr>
        <w:tc>
          <w:tcPr>
            <w:tcW w:type="dxa" w:w="3322"/>
          </w:tcPr>
          <w:p>
            <w:pPr>
              <w:pStyle w:val="null3"/>
              <w:jc w:val="both"/>
            </w:pPr>
            <w:r>
              <w:rPr/>
              <w:t>20</w:t>
            </w:r>
          </w:p>
        </w:tc>
        <w:tc>
          <w:tcPr>
            <w:tcW w:type="dxa" w:w="831"/>
          </w:tcPr>
          <w:p>
            <w:pPr>
              <w:pStyle w:val="null3"/>
              <w:jc w:val="right"/>
            </w:pPr>
            <w:r>
              <w:rPr/>
              <w:t>3.00</w:t>
            </w:r>
          </w:p>
        </w:tc>
        <w:tc>
          <w:tcPr>
            <w:tcW w:type="dxa" w:w="4153"/>
          </w:tcPr>
          <w:p>
            <w:pPr>
              <w:pStyle w:val="null3"/>
              <w:jc w:val="both"/>
            </w:pPr>
            <w:r>
              <w:rPr/>
              <w:t>根据投标人提供样品（三人组合家具：床边立柱、床中立柱、床前横梁、床头护栏、前护栏、脚踏板、公寓椅、杉木芯生态板）的材质（面材、基材、涂层等）、工艺细节及表面处理效果进行评审：材质用料质地均匀、纹理清晰、无色差（或仅有细微色差）、手感细腻舒适、无凹陷、压痕等瑕疵、无变形、涂层表面光滑、色泽均匀、无表面划痕、无剥落、无异味的、得3分。各材质用料质地均匀性、纹理清晰度、色差程度、手感细腻舒适度、异味情形一般的；凹陷压痕等瑕疵程度与不变形程度及表面处理效果光滑度；色泽均匀性；无表面划痕；无剥落；无异味）情况一般的得1.5分。其余不得分。</w:t>
            </w:r>
          </w:p>
        </w:tc>
      </w:tr>
      <w:tr>
        <w:tc>
          <w:tcPr>
            <w:tcW w:type="dxa" w:w="3322"/>
          </w:tcPr>
          <w:p>
            <w:pPr>
              <w:pStyle w:val="null3"/>
              <w:jc w:val="both"/>
            </w:pPr>
            <w:r>
              <w:rPr/>
              <w:t>21</w:t>
            </w:r>
          </w:p>
        </w:tc>
        <w:tc>
          <w:tcPr>
            <w:tcW w:type="dxa" w:w="831"/>
          </w:tcPr>
          <w:p>
            <w:pPr>
              <w:pStyle w:val="null3"/>
              <w:jc w:val="right"/>
            </w:pPr>
            <w:r>
              <w:rPr/>
              <w:t>3.00</w:t>
            </w:r>
          </w:p>
        </w:tc>
        <w:tc>
          <w:tcPr>
            <w:tcW w:type="dxa" w:w="4153"/>
          </w:tcPr>
          <w:p>
            <w:pPr>
              <w:pStyle w:val="null3"/>
              <w:jc w:val="both"/>
            </w:pPr>
            <w:r>
              <w:rPr/>
              <w:t>根据投标人提供样品（二人组合家具：脚踏板、PP塑料内塞、中护栏、前护栏。单人组合家具:立柱、长横梁、写字桌面板。楼梯柜：门板）的材质（面材、基材、涂层等）、工艺细节及表面处理效果进行评审：材质用料质地均匀、纹理清晰、无色差（或仅有细微色差）、手感细腻舒适、无凹陷、压痕等瑕疵、无变形、涂层表面光滑、色泽均匀、无表面划痕、无剥落、无异味的、得3分。各材质用料质地均匀性、纹理清晰度、色差程度、手感细腻舒适度、异味情形一般的、凹陷压痕等瑕疵程度与不变形程度及表面处理效果（光滑度；色泽均匀性；无表面划痕；无剥落；无异味）情况一般的得1.5分。其余不得分。</w:t>
            </w:r>
          </w:p>
        </w:tc>
      </w:tr>
    </w:tbl>
    <w:p>
      <w:pPr>
        <w:pStyle w:val="null3"/>
        <w:jc w:val="both"/>
      </w:pPr>
      <w:r>
        <w:rPr/>
        <w:t>商务项（F3×A3）满分为15.00分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1</w:t>
            </w:r>
          </w:p>
        </w:tc>
        <w:tc>
          <w:tcPr>
            <w:tcW w:type="dxa" w:w="831"/>
          </w:tcPr>
          <w:p>
            <w:pPr>
              <w:pStyle w:val="null3"/>
              <w:jc w:val="right"/>
            </w:pPr>
            <w:r>
              <w:rPr/>
              <w:t>2.00</w:t>
            </w:r>
          </w:p>
        </w:tc>
        <w:tc>
          <w:tcPr>
            <w:tcW w:type="dxa" w:w="4153"/>
          </w:tcPr>
          <w:p>
            <w:pPr>
              <w:pStyle w:val="null3"/>
              <w:jc w:val="both"/>
            </w:pPr>
            <w:r>
              <w:rPr/>
              <w:t>投标人提供经国家认证认可监督管理委员会认可的机构评审认证通过获得健康家居人类工效学产品认证证书（认证单元应覆盖学生公寓多功能家具、桌椅）得1分、中国绿色产品认证证书的得1分，本项合计共2分。须提供有效证书复印件且证书可认监委查询并附官网查询结果截图及网址链接，否则不得分。</w:t>
            </w:r>
          </w:p>
        </w:tc>
      </w:tr>
      <w:tr>
        <w:tc>
          <w:tcPr>
            <w:tcW w:type="dxa" w:w="3322"/>
          </w:tcPr>
          <w:p>
            <w:pPr>
              <w:pStyle w:val="null3"/>
              <w:jc w:val="both"/>
            </w:pPr>
            <w:r>
              <w:rPr/>
              <w:t>2</w:t>
            </w:r>
          </w:p>
        </w:tc>
        <w:tc>
          <w:tcPr>
            <w:tcW w:type="dxa" w:w="831"/>
          </w:tcPr>
          <w:p>
            <w:pPr>
              <w:pStyle w:val="null3"/>
              <w:jc w:val="right"/>
            </w:pPr>
            <w:r>
              <w:rPr/>
              <w:t>2.00</w:t>
            </w:r>
          </w:p>
        </w:tc>
        <w:tc>
          <w:tcPr>
            <w:tcW w:type="dxa" w:w="4153"/>
          </w:tcPr>
          <w:p>
            <w:pPr>
              <w:pStyle w:val="null3"/>
              <w:jc w:val="both"/>
            </w:pPr>
            <w:r>
              <w:rPr/>
              <w:t>投标人提供经国家认证认可监督管理委员会认可的机构评审认证通过获得5A级绿色家具评价证证书得1分、家具中有害物质限量认证证书：认证范围应覆盖：（床类、桌台类、椅凳类、柜架类）的得1分，本项合计共2分。须提供有效证书复印件且证书可认监委查询并附官网查询结果截图及网址链接，否则不得分。</w:t>
            </w:r>
          </w:p>
        </w:tc>
      </w:tr>
      <w:tr>
        <w:tc>
          <w:tcPr>
            <w:tcW w:type="dxa" w:w="3322"/>
          </w:tcPr>
          <w:p>
            <w:pPr>
              <w:pStyle w:val="null3"/>
              <w:jc w:val="both"/>
            </w:pPr>
            <w:r>
              <w:rPr/>
              <w:t>3</w:t>
            </w:r>
          </w:p>
        </w:tc>
        <w:tc>
          <w:tcPr>
            <w:tcW w:type="dxa" w:w="831"/>
          </w:tcPr>
          <w:p>
            <w:pPr>
              <w:pStyle w:val="null3"/>
              <w:jc w:val="right"/>
            </w:pPr>
            <w:r>
              <w:rPr/>
              <w:t>2.00</w:t>
            </w:r>
          </w:p>
        </w:tc>
        <w:tc>
          <w:tcPr>
            <w:tcW w:type="dxa" w:w="4153"/>
          </w:tcPr>
          <w:p>
            <w:pPr>
              <w:pStyle w:val="null3"/>
              <w:jc w:val="both"/>
            </w:pPr>
            <w:r>
              <w:rPr/>
              <w:t>投标人提供经国家认证认可监督管理委员会认可的机构评审认证通过获得低 VOCs 家具产品认证证书得1分、低甲醛家具产品认证证书得1分：认证范围应覆盖：（认证范围应覆盖：钢木家具、金属家具、人造板家具），本项合计共2分；须提供有效证书复印件且证书可认监委查询并附官网查询结果截图及网址链接，否则不得分。</w:t>
            </w:r>
          </w:p>
        </w:tc>
      </w:tr>
      <w:tr>
        <w:tc>
          <w:tcPr>
            <w:tcW w:type="dxa" w:w="3322"/>
          </w:tcPr>
          <w:p>
            <w:pPr>
              <w:pStyle w:val="null3"/>
              <w:jc w:val="both"/>
            </w:pPr>
            <w:r>
              <w:rPr/>
              <w:t>4</w:t>
            </w:r>
          </w:p>
        </w:tc>
        <w:tc>
          <w:tcPr>
            <w:tcW w:type="dxa" w:w="831"/>
          </w:tcPr>
          <w:p>
            <w:pPr>
              <w:pStyle w:val="null3"/>
              <w:jc w:val="right"/>
            </w:pPr>
            <w:r>
              <w:rPr/>
              <w:t>2.00</w:t>
            </w:r>
          </w:p>
        </w:tc>
        <w:tc>
          <w:tcPr>
            <w:tcW w:type="dxa" w:w="4153"/>
          </w:tcPr>
          <w:p>
            <w:pPr>
              <w:pStyle w:val="null3"/>
              <w:jc w:val="both"/>
            </w:pPr>
            <w:r>
              <w:rPr/>
              <w:t>投标人提供经国家认证认可监督管理委员会认可的机构评审认证通过获得产品环保卫士认证证书得1分：品质验证认证证书得1分：，本项合计共2分。须提供有效证书复印件且证书可认监委查询并附官网查询结果截图及网址链接，否则不得分。</w:t>
            </w:r>
          </w:p>
        </w:tc>
      </w:tr>
      <w:tr>
        <w:tc>
          <w:tcPr>
            <w:tcW w:type="dxa" w:w="3322"/>
          </w:tcPr>
          <w:p>
            <w:pPr>
              <w:pStyle w:val="null3"/>
              <w:jc w:val="both"/>
            </w:pPr>
            <w:r>
              <w:rPr/>
              <w:t>5</w:t>
            </w:r>
          </w:p>
        </w:tc>
        <w:tc>
          <w:tcPr>
            <w:tcW w:type="dxa" w:w="831"/>
          </w:tcPr>
          <w:p>
            <w:pPr>
              <w:pStyle w:val="null3"/>
              <w:jc w:val="right"/>
            </w:pPr>
            <w:r>
              <w:rPr/>
              <w:t>1.00</w:t>
            </w:r>
          </w:p>
        </w:tc>
        <w:tc>
          <w:tcPr>
            <w:tcW w:type="dxa" w:w="4153"/>
          </w:tcPr>
          <w:p>
            <w:pPr>
              <w:pStyle w:val="null3"/>
              <w:jc w:val="both"/>
            </w:pPr>
            <w:r>
              <w:rPr/>
              <w:t>投标人提供经国家认证认可监督管理委员会认可的机构评审认证通过质量管理体系认证证书、职业健康安全管理体系认证证书、环境管理体系认证证书得1分。须提供有效证书复印件且证书可认监委查询并附官网查询结果截图及网址链接，否则不得分。</w:t>
            </w:r>
          </w:p>
        </w:tc>
      </w:tr>
      <w:tr>
        <w:tc>
          <w:tcPr>
            <w:tcW w:type="dxa" w:w="3322"/>
          </w:tcPr>
          <w:p>
            <w:pPr>
              <w:pStyle w:val="null3"/>
              <w:jc w:val="both"/>
            </w:pPr>
            <w:r>
              <w:rPr/>
              <w:t>6</w:t>
            </w:r>
          </w:p>
        </w:tc>
        <w:tc>
          <w:tcPr>
            <w:tcW w:type="dxa" w:w="831"/>
          </w:tcPr>
          <w:p>
            <w:pPr>
              <w:pStyle w:val="null3"/>
              <w:jc w:val="right"/>
            </w:pPr>
            <w:r>
              <w:rPr/>
              <w:t>2.00</w:t>
            </w:r>
          </w:p>
        </w:tc>
        <w:tc>
          <w:tcPr>
            <w:tcW w:type="dxa" w:w="4153"/>
          </w:tcPr>
          <w:p>
            <w:pPr>
              <w:pStyle w:val="null3"/>
              <w:jc w:val="both"/>
            </w:pPr>
            <w:r>
              <w:rPr/>
              <w:t>投标人提交投标投标文件截止时间前三年内取得类似家具项目的业绩，每提供一份得1分，最高2分。【业绩时间以合同签订时间为准，投标人须同时提供该业绩项目的中标/成交公告（提供相关网站中标公告的下载网页并注明网址）、中标/成交通知书复印件、采购合同文本复印件，以及能够证明该业绩项目已经采购人验收合格的相关证明文件复印件，并罗列业绩清单。未按要求提供或者提供不全者，本项不得分。】 注：被政府部门认定的首台（套）产品，自认定之日起2年内视同已具备相应业绩，供应商提交产品认定证明材料，业绩分值直接为满分。</w:t>
            </w:r>
          </w:p>
        </w:tc>
      </w:tr>
      <w:tr>
        <w:tc>
          <w:tcPr>
            <w:tcW w:type="dxa" w:w="3322"/>
          </w:tcPr>
          <w:p>
            <w:pPr>
              <w:pStyle w:val="null3"/>
              <w:jc w:val="both"/>
            </w:pPr>
            <w:r>
              <w:rPr/>
              <w:t>7</w:t>
            </w:r>
          </w:p>
        </w:tc>
        <w:tc>
          <w:tcPr>
            <w:tcW w:type="dxa" w:w="831"/>
          </w:tcPr>
          <w:p>
            <w:pPr>
              <w:pStyle w:val="null3"/>
              <w:jc w:val="right"/>
            </w:pPr>
            <w:r>
              <w:rPr/>
              <w:t>1.00</w:t>
            </w:r>
          </w:p>
        </w:tc>
        <w:tc>
          <w:tcPr>
            <w:tcW w:type="dxa" w:w="4153"/>
          </w:tcPr>
          <w:p>
            <w:pPr>
              <w:pStyle w:val="null3"/>
              <w:jc w:val="both"/>
            </w:pPr>
            <w:r>
              <w:rPr/>
              <w:t>投标人具有符合GB/T 27922-2011《商品售后服务评价体系》标准要求的售后服务成熟度认证证书，且认证范围涵盖：公寓床，五星级及以上得0.5分，七星级及以上得1分，最多得1分。 评审依据：提供售后服务认证证书原件扫描件和全国认证认可信息公共服务平台查询截图，未按要求提供的不得分。</w:t>
            </w:r>
          </w:p>
        </w:tc>
      </w:tr>
      <w:tr>
        <w:tc>
          <w:tcPr>
            <w:tcW w:type="dxa" w:w="3322"/>
          </w:tcPr>
          <w:p>
            <w:pPr>
              <w:pStyle w:val="null3"/>
              <w:jc w:val="both"/>
            </w:pPr>
            <w:r>
              <w:rPr/>
              <w:t>8</w:t>
            </w:r>
          </w:p>
        </w:tc>
        <w:tc>
          <w:tcPr>
            <w:tcW w:type="dxa" w:w="831"/>
          </w:tcPr>
          <w:p>
            <w:pPr>
              <w:pStyle w:val="null3"/>
              <w:jc w:val="right"/>
            </w:pPr>
            <w:r>
              <w:rPr/>
              <w:t>2.00</w:t>
            </w:r>
          </w:p>
        </w:tc>
        <w:tc>
          <w:tcPr>
            <w:tcW w:type="dxa" w:w="4153"/>
          </w:tcPr>
          <w:p>
            <w:pPr>
              <w:pStyle w:val="null3"/>
              <w:jc w:val="both"/>
            </w:pPr>
            <w:r>
              <w:rPr/>
              <w:t>1、投标人有针对所投产品提供生产计划方案、包装保护、安装、调试的时间保障计划措施的得1分； 2、①有固定的售后服务网点的得0.5分；②设有零配件仓库、维修点及固定的维修人员的得0.5分； 评审依据：提供售后服务承诺函，否则不得分。</w:t>
            </w:r>
          </w:p>
        </w:tc>
      </w:tr>
      <w:tr>
        <w:tc>
          <w:tcPr>
            <w:tcW w:type="dxa" w:w="3322"/>
          </w:tcPr>
          <w:p>
            <w:pPr>
              <w:pStyle w:val="null3"/>
              <w:jc w:val="both"/>
            </w:pPr>
            <w:r>
              <w:rPr/>
              <w:t>9</w:t>
            </w:r>
          </w:p>
        </w:tc>
        <w:tc>
          <w:tcPr>
            <w:tcW w:type="dxa" w:w="831"/>
          </w:tcPr>
          <w:p>
            <w:pPr>
              <w:pStyle w:val="null3"/>
              <w:jc w:val="right"/>
            </w:pPr>
            <w:r>
              <w:rPr/>
              <w:t>1.00</w:t>
            </w:r>
          </w:p>
        </w:tc>
        <w:tc>
          <w:tcPr>
            <w:tcW w:type="dxa" w:w="4153"/>
          </w:tcPr>
          <w:p>
            <w:pPr>
              <w:pStyle w:val="null3"/>
              <w:jc w:val="both"/>
            </w:pPr>
            <w:r>
              <w:rPr/>
              <w:t>投标人所投产品近一年内具有经保险公司投保的或承诺中标后投保的产品质量保证险、产品责任险、公众责任险的得1分。</w:t>
            </w:r>
          </w:p>
        </w:tc>
      </w:tr>
    </w:tbl>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8"/>
        </w:rPr>
        <w:t>本项目包括主校区新建学生公寓</w:t>
      </w:r>
      <w:r>
        <w:rPr>
          <w:rFonts w:ascii="calibri" w:hAnsi="calibri" w:cs="calibri" w:eastAsia="calibri"/>
          <w:sz w:val="28"/>
        </w:rPr>
        <w:t>D</w:t>
      </w:r>
      <w:r>
        <w:rPr>
          <w:rFonts w:ascii="宋体" w:hAnsi="宋体" w:cs="宋体" w:eastAsia="宋体"/>
          <w:sz w:val="28"/>
        </w:rPr>
        <w:t>区家具和主校区</w:t>
      </w:r>
      <w:r>
        <w:rPr>
          <w:rFonts w:ascii="calibri" w:hAnsi="calibri" w:cs="calibri" w:eastAsia="calibri"/>
          <w:sz w:val="28"/>
        </w:rPr>
        <w:t>ABC</w:t>
      </w:r>
      <w:r>
        <w:rPr>
          <w:rFonts w:ascii="宋体" w:hAnsi="宋体" w:cs="宋体" w:eastAsia="宋体"/>
          <w:sz w:val="28"/>
        </w:rPr>
        <w:t>区学生公寓家具两部分：</w:t>
      </w:r>
    </w:p>
    <w:p>
      <w:pPr>
        <w:pStyle w:val="null3"/>
        <w:ind w:firstLine="560"/>
        <w:jc w:val="both"/>
      </w:pPr>
      <w:r>
        <w:rPr>
          <w:rFonts w:ascii="宋体" w:hAnsi="宋体" w:cs="宋体" w:eastAsia="宋体"/>
          <w:sz w:val="28"/>
        </w:rPr>
        <w:t>1.</w:t>
      </w:r>
      <w:r>
        <w:rPr>
          <w:rFonts w:ascii="宋体" w:hAnsi="宋体" w:cs="宋体" w:eastAsia="宋体"/>
          <w:sz w:val="28"/>
        </w:rPr>
        <w:t>主校区新建学生公寓</w:t>
      </w:r>
      <w:r>
        <w:rPr>
          <w:rFonts w:ascii="宋体" w:hAnsi="宋体" w:cs="宋体" w:eastAsia="宋体"/>
          <w:sz w:val="28"/>
        </w:rPr>
        <w:t>D区共4栋，414间（含辅导员、宿管员宿舍等5间），可住2422名学生（含10间4人间，3间无障碍2人间，剩余396间6人间，共409间）。学生公寓D区拟于2024年9月投入使用，为满足学生宿舍入住学习生活基本需求，需采购家具等基础设备设施。建议采购</w:t>
      </w:r>
      <w:r>
        <w:rPr>
          <w:rFonts w:ascii="宋体" w:hAnsi="宋体" w:cs="宋体" w:eastAsia="宋体"/>
          <w:sz w:val="28"/>
        </w:rPr>
        <w:t>三人位组合家具</w:t>
      </w:r>
      <w:r>
        <w:rPr>
          <w:rFonts w:ascii="宋体" w:hAnsi="宋体" w:cs="宋体" w:eastAsia="宋体"/>
          <w:sz w:val="28"/>
        </w:rPr>
        <w:t>792套、</w:t>
      </w:r>
      <w:r>
        <w:rPr>
          <w:rFonts w:ascii="宋体" w:hAnsi="宋体" w:cs="宋体" w:eastAsia="宋体"/>
          <w:sz w:val="28"/>
        </w:rPr>
        <w:t>二人位组合家具</w:t>
      </w:r>
      <w:r>
        <w:rPr>
          <w:rFonts w:ascii="宋体" w:hAnsi="宋体" w:cs="宋体" w:eastAsia="宋体"/>
          <w:sz w:val="28"/>
        </w:rPr>
        <w:t>20套、单人组合家具16套</w:t>
      </w:r>
      <w:r>
        <w:rPr>
          <w:rFonts w:ascii="宋体" w:hAnsi="宋体" w:cs="宋体" w:eastAsia="宋体"/>
          <w:sz w:val="28"/>
        </w:rPr>
        <w:t>。</w:t>
      </w:r>
    </w:p>
    <w:p>
      <w:pPr>
        <w:pStyle w:val="null3"/>
        <w:ind w:firstLine="560"/>
        <w:jc w:val="both"/>
      </w:pPr>
      <w:r>
        <w:rPr>
          <w:rFonts w:ascii="宋体" w:hAnsi="宋体" w:cs="宋体" w:eastAsia="宋体"/>
          <w:sz w:val="28"/>
        </w:rPr>
        <w:t>2.</w:t>
      </w:r>
      <w:r>
        <w:rPr>
          <w:rFonts w:ascii="宋体" w:hAnsi="宋体" w:cs="宋体" w:eastAsia="宋体"/>
          <w:sz w:val="28"/>
        </w:rPr>
        <w:t>主校区</w:t>
      </w:r>
      <w:r>
        <w:rPr>
          <w:rFonts w:ascii="宋体" w:hAnsi="宋体" w:cs="宋体" w:eastAsia="宋体"/>
          <w:sz w:val="28"/>
        </w:rPr>
        <w:t>ABC区</w:t>
      </w:r>
      <w:r>
        <w:rPr>
          <w:rFonts w:ascii="宋体" w:hAnsi="宋体" w:cs="宋体" w:eastAsia="宋体"/>
          <w:sz w:val="28"/>
        </w:rPr>
        <w:t>学生公寓</w:t>
      </w:r>
      <w:r>
        <w:rPr>
          <w:rFonts w:ascii="宋体" w:hAnsi="宋体" w:cs="宋体" w:eastAsia="宋体"/>
          <w:sz w:val="28"/>
        </w:rPr>
        <w:t>宿舍内现有</w:t>
      </w:r>
      <w:r>
        <w:rPr>
          <w:rFonts w:ascii="宋体" w:hAnsi="宋体" w:cs="宋体" w:eastAsia="宋体"/>
          <w:sz w:val="28"/>
        </w:rPr>
        <w:t>书</w:t>
      </w:r>
      <w:r>
        <w:rPr>
          <w:rFonts w:ascii="宋体" w:hAnsi="宋体" w:cs="宋体" w:eastAsia="宋体"/>
          <w:sz w:val="28"/>
        </w:rPr>
        <w:t>桌柜</w:t>
      </w:r>
      <w:r>
        <w:rPr>
          <w:rFonts w:ascii="宋体" w:hAnsi="宋体" w:cs="宋体" w:eastAsia="宋体"/>
          <w:sz w:val="28"/>
        </w:rPr>
        <w:t>、</w:t>
      </w:r>
      <w:r>
        <w:rPr>
          <w:rFonts w:ascii="宋体" w:hAnsi="宋体" w:cs="宋体" w:eastAsia="宋体"/>
          <w:sz w:val="28"/>
        </w:rPr>
        <w:t>楼梯柜和椅子</w:t>
      </w:r>
      <w:r>
        <w:rPr>
          <w:rFonts w:ascii="宋体" w:hAnsi="宋体" w:cs="宋体" w:eastAsia="宋体"/>
          <w:sz w:val="28"/>
        </w:rPr>
        <w:t>大部分</w:t>
      </w:r>
      <w:r>
        <w:rPr>
          <w:rFonts w:ascii="宋体" w:hAnsi="宋体" w:cs="宋体" w:eastAsia="宋体"/>
          <w:sz w:val="28"/>
        </w:rPr>
        <w:t>为早年公寓建成投入使用时配套家具，使用</w:t>
      </w:r>
      <w:r>
        <w:rPr>
          <w:rFonts w:ascii="宋体" w:hAnsi="宋体" w:cs="宋体" w:eastAsia="宋体"/>
          <w:sz w:val="28"/>
        </w:rPr>
        <w:t>近</w:t>
      </w:r>
      <w:r>
        <w:rPr>
          <w:rFonts w:ascii="宋体" w:hAnsi="宋体" w:cs="宋体" w:eastAsia="宋体"/>
          <w:sz w:val="28"/>
        </w:rPr>
        <w:t>20</w:t>
      </w:r>
      <w:r>
        <w:rPr>
          <w:rFonts w:ascii="宋体" w:hAnsi="宋体" w:cs="宋体" w:eastAsia="宋体"/>
          <w:sz w:val="28"/>
        </w:rPr>
        <w:t>年</w:t>
      </w:r>
      <w:r>
        <w:rPr>
          <w:rFonts w:ascii="宋体" w:hAnsi="宋体" w:cs="宋体" w:eastAsia="宋体"/>
          <w:sz w:val="28"/>
        </w:rPr>
        <w:t>。</w:t>
      </w:r>
      <w:r>
        <w:rPr>
          <w:rFonts w:ascii="宋体" w:hAnsi="宋体" w:cs="宋体" w:eastAsia="宋体"/>
          <w:sz w:val="28"/>
        </w:rPr>
        <w:t>根据学生报修情况及现场查看，仍有较多宿舍的家具存在不同程度的损坏，影响学生日常生活学习使用，学生有更换新家具的需求。</w:t>
      </w:r>
      <w:r>
        <w:rPr>
          <w:rFonts w:ascii="宋体" w:hAnsi="宋体" w:cs="宋体" w:eastAsia="宋体"/>
          <w:sz w:val="28"/>
        </w:rPr>
        <w:t>结合</w:t>
      </w:r>
      <w:r>
        <w:rPr>
          <w:rFonts w:ascii="宋体" w:hAnsi="宋体" w:cs="宋体" w:eastAsia="宋体"/>
          <w:sz w:val="28"/>
        </w:rPr>
        <w:t>整年学生报修量预算，建议</w:t>
      </w:r>
      <w:r>
        <w:rPr>
          <w:rFonts w:ascii="宋体" w:hAnsi="宋体" w:cs="宋体" w:eastAsia="宋体"/>
          <w:sz w:val="28"/>
        </w:rPr>
        <w:t>2024年暑假期间对学生宿舍内无法维修使用的书桌柜、楼梯柜和公寓椅等家具进行更换。</w:t>
      </w:r>
      <w:r>
        <w:rPr>
          <w:rFonts w:ascii="宋体" w:hAnsi="宋体" w:cs="宋体" w:eastAsia="宋体"/>
          <w:sz w:val="28"/>
        </w:rPr>
        <w:t>建议</w:t>
      </w:r>
      <w:r>
        <w:rPr>
          <w:rFonts w:ascii="宋体" w:hAnsi="宋体" w:cs="宋体" w:eastAsia="宋体"/>
          <w:sz w:val="28"/>
        </w:rPr>
        <w:t>采购三人</w:t>
      </w:r>
      <w:r>
        <w:rPr>
          <w:rFonts w:ascii="宋体" w:hAnsi="宋体" w:cs="宋体" w:eastAsia="宋体"/>
          <w:sz w:val="28"/>
        </w:rPr>
        <w:t>写字桌</w:t>
      </w:r>
      <w:r>
        <w:rPr>
          <w:rFonts w:ascii="宋体" w:hAnsi="宋体" w:cs="宋体" w:eastAsia="宋体"/>
          <w:sz w:val="28"/>
        </w:rPr>
        <w:t>200张、二人</w:t>
      </w:r>
      <w:r>
        <w:rPr>
          <w:rFonts w:ascii="宋体" w:hAnsi="宋体" w:cs="宋体" w:eastAsia="宋体"/>
          <w:sz w:val="28"/>
        </w:rPr>
        <w:t>写字桌</w:t>
      </w:r>
      <w:r>
        <w:rPr>
          <w:rFonts w:ascii="宋体" w:hAnsi="宋体" w:cs="宋体" w:eastAsia="宋体"/>
          <w:sz w:val="28"/>
        </w:rPr>
        <w:t>50张、公寓椅2000张、</w:t>
      </w:r>
      <w:r>
        <w:rPr>
          <w:rFonts w:ascii="宋体" w:hAnsi="宋体" w:cs="宋体" w:eastAsia="宋体"/>
          <w:sz w:val="28"/>
        </w:rPr>
        <w:t>楼梯柜</w:t>
      </w:r>
      <w:r>
        <w:rPr>
          <w:rFonts w:ascii="宋体" w:hAnsi="宋体" w:cs="宋体" w:eastAsia="宋体"/>
          <w:sz w:val="28"/>
        </w:rPr>
        <w:t>200个</w:t>
      </w:r>
      <w:r>
        <w:rPr>
          <w:rFonts w:ascii="宋体" w:hAnsi="宋体" w:cs="宋体" w:eastAsia="宋体"/>
          <w:sz w:val="28"/>
        </w:rPr>
        <w:t>。</w:t>
      </w:r>
    </w:p>
    <w:p>
      <w:pPr>
        <w:pStyle w:val="null3"/>
        <w:ind w:firstLine="560"/>
        <w:jc w:val="both"/>
      </w:pPr>
      <w:r>
        <w:rPr>
          <w:rFonts w:ascii="宋体" w:hAnsi="宋体" w:cs="宋体" w:eastAsia="宋体"/>
          <w:sz w:val="28"/>
        </w:rPr>
        <w:t>本项目对应的</w:t>
      </w:r>
      <w:r>
        <w:rPr>
          <w:rFonts w:ascii="宋体" w:hAnsi="宋体" w:cs="宋体" w:eastAsia="宋体"/>
          <w:sz w:val="28"/>
        </w:rPr>
        <w:t>中小企业划分标准所属行业</w:t>
      </w:r>
      <w:r>
        <w:rPr>
          <w:rFonts w:ascii="宋体" w:hAnsi="宋体" w:cs="宋体" w:eastAsia="宋体"/>
          <w:sz w:val="28"/>
        </w:rPr>
        <w:t>为：</w:t>
      </w:r>
      <w:r>
        <w:rPr>
          <w:rFonts w:ascii="宋体" w:hAnsi="宋体" w:cs="宋体" w:eastAsia="宋体"/>
          <w:sz w:val="28"/>
          <w:u w:val="single"/>
        </w:rPr>
        <w:t xml:space="preserve"> </w:t>
      </w:r>
      <w:r>
        <w:rPr>
          <w:rFonts w:ascii="宋体" w:hAnsi="宋体" w:cs="宋体" w:eastAsia="宋体"/>
          <w:sz w:val="28"/>
          <w:u w:val="single"/>
        </w:rPr>
        <w:t>工业</w:t>
      </w:r>
      <w:r>
        <w:rPr>
          <w:rFonts w:ascii="宋体" w:hAnsi="宋体" w:cs="宋体" w:eastAsia="宋体"/>
          <w:sz w:val="28"/>
          <w:u w:val="single"/>
        </w:rPr>
        <w:t xml:space="preserve">  </w:t>
      </w:r>
      <w:r>
        <w:rPr>
          <w:rFonts w:ascii="宋体" w:hAnsi="宋体" w:cs="宋体" w:eastAsia="宋体"/>
          <w:sz w:val="28"/>
        </w:rPr>
        <w:t>，标的名称参照《采购标的一览表》中的</w:t>
      </w:r>
      <w:r>
        <w:rPr>
          <w:rFonts w:ascii="宋体" w:hAnsi="宋体" w:cs="宋体" w:eastAsia="宋体"/>
          <w:sz w:val="28"/>
        </w:rPr>
        <w:t>“采购标的”，投标人在编制《中小企业声明函》时应按照以上要求填写，否则视为未提供《中小企业声明函》。</w:t>
      </w:r>
    </w:p>
    <w:p>
      <w:pPr>
        <w:pStyle w:val="null3"/>
        <w:jc w:val="both"/>
        <w:outlineLvl w:val="2"/>
      </w:pPr>
      <w:r>
        <w:rPr>
          <w:b/>
          <w:sz w:val="28"/>
        </w:rPr>
        <w:t>二、技术和服务要求（以“★”标示的内容为不允许负偏离的实质性要求）</w:t>
      </w:r>
    </w:p>
    <w:p>
      <w:pPr>
        <w:pStyle w:val="null3"/>
        <w:ind w:firstLine="480"/>
        <w:jc w:val="both"/>
      </w:pPr>
      <w:r>
        <w:rPr/>
        <w:t>详见附件。</w:t>
      </w:r>
    </w:p>
    <w:p>
      <w:pPr>
        <w:pStyle w:val="null3"/>
        <w:jc w:val="both"/>
        <w:outlineLvl w:val="2"/>
      </w:pPr>
      <w:r>
        <w:rPr>
          <w:b/>
          <w:sz w:val="28"/>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自合同签订之日起30日</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主校区：福建省泉州市丰泽区东海大街398号学生公寓D区及ABC区。</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经验收合格后交付使用。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1、期次1，说明：说明：（一）验收标准按厂家设备验收标准(符合国家或行业或地方标准)、招标文件、投标文件、合同等相关文件执行。验收结果应符合采购人使用要求。（二）验收程序 1.出厂检验：中标人需提供货物、安装材料、工具和文件的发货清单和计划，发货计划应经采购人认可后实施。中标人在设备出厂前，应按设备技术标准规定的检验项目和检验方法进行全面检验，结果必须符合验收标准的要求。中标人应随同货物出具供货证明、产地证书、出厂检验报告和设备质量合格证等，并负责将产品送达采购人指定交货地点。 2.初步验收：货物到达交货地点后30天内完成。采购人（或采购人授权单位）在货物到货后，将按合同规定对所交货物进行清点、核对和商检，对货物基本数量与质量进行初步验收（但不作为最终合格的保证），该验收应达到合同规定的要求。初步验收不合格的，采购人有权选择退货或换货处理：选择换货处理的，中标人须在收到换货通知日起30天内交付合格的新品，逾期未处理的，将予以退货，由此产生的费用和采购人的损失，由中标人承担；选择退货处理的，中标人须在收到退货通知之日起10天内将货物自行运回，如逾期中标人未退回货物，采购人有权将货物退回中标人法定地址，由此产生的一切费用由中标人承担。 3.最终验收：设备在安装地安装、调试与试运行无问题之后30天内完成最终验收（因中标人原因导致无法验收的情况除外）。项目具备验收条件后，中标人应向采购人提出验收请求并提供完整的项目交接资料及交接报告。采购人收到验收请求后组织验收，验收合格后，签发验收单；验收不合格，采购人有权选择通知整改或退换货处理：①选择通知整改处理的，中标人须在收到整改通知日起30天内完成整改，逾期未处理，将按退货处理，由此产生的费用和采购人的损失，由中标人承担；②选择换货处理的，中标人须在收到换货通知日起30天内交付合格的新品，逾期未处理，将按退货处理，由此产生的费用和采购人的损失，由中标人承担；③选择退货处理的，中标人须在收到退货通知之日起10天 内将货物自行运回，如逾期中标人未退回货物，采购人有权将货物退回中标人法定地址，由此产生的一切费用由中标人承担。</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在签订合同且中标人提交银行、保险公司等金融机构出具的预付款保函或其他担保措施。支付说明：中标人、收款单位、购货票证开票单位三者应一致，中标人收款帐号应为中国人民银行批准的基本帐户，达到付款条件起15日内，支付合同总金额的50.00%</w:t>
            </w:r>
          </w:p>
          <w:p>
            <w:pPr>
              <w:pStyle w:val="null3"/>
              <w:jc w:val="both"/>
            </w:pPr>
            <w:r>
              <w:rPr/>
              <w:t>2、货物完成安装、调试后组织验收，经验收合格，采购人30日内支付剩余款项。支付说明：中标人、收款单位、购货票证开票单位三者应一致，中标人收款帐号应为中国人民银行批准的基本帐户，达到付款条件起30日内，支付合同总金额的50.00%</w:t>
            </w:r>
          </w:p>
        </w:tc>
      </w:tr>
    </w:tbl>
    <w:p>
      <w:pPr>
        <w:pStyle w:val="null3"/>
        <w:jc w:val="left"/>
      </w:pPr>
      <w:r>
        <w:rPr/>
        <w:t>其他商务要求</w:t>
      </w:r>
    </w:p>
    <w:p>
      <w:pPr>
        <w:pStyle w:val="null3"/>
        <w:ind w:firstLine="480"/>
        <w:jc w:val="left"/>
      </w:pPr>
      <w:r>
        <w:rPr>
          <w:rFonts w:ascii="仿宋_gb2312" w:hAnsi="仿宋_gb2312" w:cs="仿宋_gb2312" w:eastAsia="仿宋_gb2312"/>
          <w:sz w:val="32"/>
        </w:rPr>
        <w:t>★投标人的工作范围</w:t>
      </w:r>
    </w:p>
    <w:p>
      <w:pPr>
        <w:pStyle w:val="null3"/>
        <w:ind w:firstLine="640"/>
        <w:jc w:val="both"/>
      </w:pPr>
      <w:r>
        <w:rPr>
          <w:rFonts w:ascii="仿宋_gb2312" w:hAnsi="仿宋_gb2312" w:cs="仿宋_gb2312" w:eastAsia="仿宋_gb2312"/>
          <w:sz w:val="32"/>
        </w:rPr>
        <w:t>1.投标人必须能提供《采购标的一览表》中的全部货物及服务。</w:t>
      </w:r>
    </w:p>
    <w:p>
      <w:pPr>
        <w:pStyle w:val="null3"/>
        <w:ind w:firstLine="640"/>
        <w:jc w:val="both"/>
      </w:pPr>
      <w:r>
        <w:rPr>
          <w:rFonts w:ascii="仿宋_gb2312" w:hAnsi="仿宋_gb2312" w:cs="仿宋_gb2312" w:eastAsia="仿宋_gb2312"/>
          <w:sz w:val="32"/>
        </w:rPr>
        <w:t>2.供应商拟提供货物须为全新未使用的合格产品。设备的品牌、使用指示、警告指示应以中文或英文，易懂的通用符号来表示，应能够准确无误地表示设备的型号、规格、制造商等内容。</w:t>
      </w:r>
    </w:p>
    <w:p>
      <w:pPr>
        <w:pStyle w:val="null3"/>
        <w:ind w:firstLine="640"/>
        <w:jc w:val="both"/>
      </w:pPr>
      <w:r>
        <w:rPr>
          <w:rFonts w:ascii="仿宋_gb2312" w:hAnsi="仿宋_gb2312" w:cs="仿宋_gb2312" w:eastAsia="仿宋_gb2312"/>
          <w:sz w:val="32"/>
        </w:rPr>
        <w:t>3.供货</w:t>
      </w:r>
    </w:p>
    <w:p>
      <w:pPr>
        <w:pStyle w:val="null3"/>
        <w:ind w:firstLine="640"/>
        <w:jc w:val="both"/>
      </w:pPr>
      <w:r>
        <w:rPr>
          <w:rFonts w:ascii="仿宋_gb2312" w:hAnsi="仿宋_gb2312" w:cs="仿宋_gb2312" w:eastAsia="仿宋_gb2312"/>
          <w:sz w:val="32"/>
        </w:rPr>
        <w:t>中标人必须能按照合同的规定，准时提供设备、配件、材料、工具，并负责所供设备、配件、材料及工具的包装和运输。</w:t>
      </w:r>
    </w:p>
    <w:p>
      <w:pPr>
        <w:pStyle w:val="null3"/>
        <w:ind w:firstLine="640"/>
        <w:jc w:val="both"/>
      </w:pPr>
      <w:r>
        <w:rPr>
          <w:rFonts w:ascii="仿宋_gb2312" w:hAnsi="仿宋_gb2312" w:cs="仿宋_gb2312" w:eastAsia="仿宋_gb2312"/>
          <w:sz w:val="32"/>
        </w:rPr>
        <w:t>4.安装及调试</w:t>
      </w:r>
    </w:p>
    <w:p>
      <w:pPr>
        <w:pStyle w:val="null3"/>
        <w:ind w:firstLine="640"/>
        <w:jc w:val="both"/>
      </w:pPr>
      <w:r>
        <w:rPr>
          <w:rFonts w:ascii="仿宋_gb2312" w:hAnsi="仿宋_gb2312" w:cs="仿宋_gb2312" w:eastAsia="仿宋_gb2312"/>
          <w:sz w:val="32"/>
        </w:rPr>
        <w:t>①所有货物均由成交供应商进行安装。成交供应商应派技术人员进行安装、调试及试运行。安装调试人员为成交供应商派出的高水平技术人员。</w:t>
      </w:r>
    </w:p>
    <w:p>
      <w:pPr>
        <w:pStyle w:val="null3"/>
        <w:ind w:firstLine="640"/>
        <w:jc w:val="both"/>
      </w:pPr>
      <w:r>
        <w:rPr>
          <w:rFonts w:ascii="仿宋_gb2312" w:hAnsi="仿宋_gb2312" w:cs="仿宋_gb2312" w:eastAsia="仿宋_gb2312"/>
          <w:sz w:val="32"/>
        </w:rPr>
        <w:t>②</w:t>
      </w:r>
      <w:r>
        <w:rPr>
          <w:rFonts w:ascii="仿宋_gb2312" w:hAnsi="仿宋_gb2312" w:cs="仿宋_gb2312" w:eastAsia="仿宋_gb2312"/>
          <w:sz w:val="32"/>
        </w:rPr>
        <w:t>供应商负责</w:t>
      </w:r>
      <w:r>
        <w:rPr>
          <w:rFonts w:ascii="仿宋_gb2312" w:hAnsi="仿宋_gb2312" w:cs="仿宋_gb2312" w:eastAsia="仿宋_gb2312"/>
          <w:sz w:val="32"/>
        </w:rPr>
        <w:t>1.4</w:t>
      </w:r>
      <w:r>
        <w:rPr>
          <w:rFonts w:ascii="仿宋_gb2312" w:hAnsi="仿宋_gb2312" w:cs="仿宋_gb2312" w:eastAsia="仿宋_gb2312"/>
          <w:sz w:val="32"/>
        </w:rPr>
        <w:t>三人位写字桌</w:t>
      </w:r>
      <w:r>
        <w:rPr>
          <w:rFonts w:ascii="仿宋_gb2312" w:hAnsi="仿宋_gb2312" w:cs="仿宋_gb2312" w:eastAsia="仿宋_gb2312"/>
          <w:sz w:val="32"/>
        </w:rPr>
        <w:t>，</w:t>
      </w:r>
      <w:r>
        <w:rPr>
          <w:rFonts w:ascii="仿宋_gb2312" w:hAnsi="仿宋_gb2312" w:cs="仿宋_gb2312" w:eastAsia="仿宋_gb2312"/>
          <w:sz w:val="32"/>
        </w:rPr>
        <w:t>1.5</w:t>
      </w:r>
      <w:r>
        <w:rPr>
          <w:rFonts w:ascii="仿宋_gb2312" w:hAnsi="仿宋_gb2312" w:cs="仿宋_gb2312" w:eastAsia="仿宋_gb2312"/>
          <w:sz w:val="32"/>
        </w:rPr>
        <w:t>二人位写字桌</w:t>
      </w:r>
      <w:r>
        <w:rPr>
          <w:rFonts w:ascii="仿宋_gb2312" w:hAnsi="仿宋_gb2312" w:cs="仿宋_gb2312" w:eastAsia="仿宋_gb2312"/>
          <w:sz w:val="32"/>
        </w:rPr>
        <w:t>，</w:t>
      </w:r>
      <w:r>
        <w:rPr>
          <w:rFonts w:ascii="仿宋_gb2312" w:hAnsi="仿宋_gb2312" w:cs="仿宋_gb2312" w:eastAsia="仿宋_gb2312"/>
          <w:sz w:val="32"/>
        </w:rPr>
        <w:t>1.6</w:t>
      </w:r>
      <w:r>
        <w:rPr>
          <w:rFonts w:ascii="仿宋_gb2312" w:hAnsi="仿宋_gb2312" w:cs="仿宋_gb2312" w:eastAsia="仿宋_gb2312"/>
          <w:sz w:val="32"/>
        </w:rPr>
        <w:t>公寓椅</w:t>
      </w:r>
      <w:r>
        <w:rPr>
          <w:rFonts w:ascii="仿宋_gb2312" w:hAnsi="仿宋_gb2312" w:cs="仿宋_gb2312" w:eastAsia="仿宋_gb2312"/>
          <w:sz w:val="32"/>
        </w:rPr>
        <w:t>，</w:t>
      </w:r>
      <w:r>
        <w:rPr>
          <w:rFonts w:ascii="仿宋_gb2312" w:hAnsi="仿宋_gb2312" w:cs="仿宋_gb2312" w:eastAsia="仿宋_gb2312"/>
          <w:sz w:val="32"/>
        </w:rPr>
        <w:t>1.7楼梯柜（学生公寓A,B,C区）相对应的旧家具拆除和搬运出校（所产生</w:t>
      </w:r>
      <w:r>
        <w:rPr>
          <w:rFonts w:ascii="仿宋_gb2312" w:hAnsi="仿宋_gb2312" w:cs="仿宋_gb2312" w:eastAsia="仿宋_gb2312"/>
          <w:sz w:val="32"/>
        </w:rPr>
        <w:t>费用由供应商承担）</w:t>
      </w:r>
      <w:r>
        <w:rPr>
          <w:rFonts w:ascii="仿宋_gb2312" w:hAnsi="仿宋_gb2312" w:cs="仿宋_gb2312" w:eastAsia="仿宋_gb2312"/>
          <w:sz w:val="32"/>
        </w:rPr>
        <w:t>。</w:t>
      </w:r>
    </w:p>
    <w:p>
      <w:pPr>
        <w:pStyle w:val="null3"/>
        <w:spacing w:after="150"/>
        <w:ind w:right="-180" w:firstLine="640"/>
        <w:jc w:val="left"/>
      </w:pPr>
      <w:r>
        <w:rPr>
          <w:rFonts w:ascii="仿宋_gb2312" w:hAnsi="仿宋_gb2312" w:cs="仿宋_gb2312" w:eastAsia="仿宋_gb2312"/>
          <w:sz w:val="32"/>
        </w:rPr>
        <w:t>③</w:t>
      </w:r>
      <w:r>
        <w:rPr>
          <w:rFonts w:ascii="仿宋_gb2312" w:hAnsi="仿宋_gb2312" w:cs="仿宋_gb2312" w:eastAsia="仿宋_gb2312"/>
          <w:sz w:val="32"/>
        </w:rPr>
        <w:t>家具</w:t>
      </w:r>
      <w:r>
        <w:rPr>
          <w:rFonts w:ascii="仿宋_gb2312" w:hAnsi="仿宋_gb2312" w:cs="仿宋_gb2312" w:eastAsia="仿宋_gb2312"/>
          <w:sz w:val="32"/>
        </w:rPr>
        <w:t>安装完毕一周内，由学校委托符合资质的第三方单位进行空气质量检测（检测费用由供应商承担），出具检测报告，结果须符合国家室内空气质量强制标准。</w:t>
      </w:r>
    </w:p>
    <w:p>
      <w:pPr>
        <w:pStyle w:val="null3"/>
        <w:ind w:firstLine="640"/>
        <w:jc w:val="both"/>
      </w:pPr>
      <w:r>
        <w:rPr>
          <w:rFonts w:ascii="仿宋_gb2312" w:hAnsi="仿宋_gb2312" w:cs="仿宋_gb2312" w:eastAsia="仿宋_gb2312"/>
          <w:sz w:val="32"/>
        </w:rPr>
        <w:t>5.培训</w:t>
      </w:r>
    </w:p>
    <w:p>
      <w:pPr>
        <w:pStyle w:val="null3"/>
        <w:ind w:firstLine="640"/>
        <w:jc w:val="both"/>
      </w:pPr>
      <w:r>
        <w:rPr>
          <w:rFonts w:ascii="仿宋_gb2312" w:hAnsi="仿宋_gb2312" w:cs="仿宋_gb2312" w:eastAsia="仿宋_gb2312"/>
          <w:sz w:val="32"/>
        </w:rPr>
        <w:t>供应商应结合本次采购的货物，有计划地对采购人派出管理、维护及使用人员进行安装现场的基本知识、使用、维护与保养技术的培训。</w:t>
      </w:r>
    </w:p>
    <w:p>
      <w:pPr>
        <w:pStyle w:val="null3"/>
        <w:ind w:firstLine="640"/>
        <w:jc w:val="both"/>
      </w:pPr>
      <w:r>
        <w:rPr>
          <w:rFonts w:ascii="仿宋_gb2312" w:hAnsi="仿宋_gb2312" w:cs="仿宋_gb2312" w:eastAsia="仿宋_gb2312"/>
          <w:sz w:val="32"/>
        </w:rPr>
        <w:t>6.质保期及售后服务</w:t>
      </w:r>
    </w:p>
    <w:p>
      <w:pPr>
        <w:pStyle w:val="null3"/>
        <w:ind w:firstLine="640"/>
        <w:jc w:val="both"/>
      </w:pPr>
      <w:r>
        <w:rPr>
          <w:rFonts w:ascii="仿宋_gb2312" w:hAnsi="仿宋_gb2312" w:cs="仿宋_gb2312" w:eastAsia="仿宋_gb2312"/>
          <w:sz w:val="32"/>
        </w:rPr>
        <w:t>6.1成交供应商对提供的货物或服务，因产品及服务质量、或知识产权纠纷等问题，必须提供保修、包换、包退等服务。</w:t>
      </w:r>
    </w:p>
    <w:p>
      <w:pPr>
        <w:pStyle w:val="null3"/>
        <w:ind w:firstLine="640"/>
        <w:jc w:val="both"/>
      </w:pPr>
      <w:r>
        <w:rPr>
          <w:rFonts w:ascii="仿宋_gb2312" w:hAnsi="仿宋_gb2312" w:cs="仿宋_gb2312" w:eastAsia="仿宋_gb2312"/>
          <w:sz w:val="32"/>
        </w:rPr>
        <w:t>6.2质量期：成交供应商需提供所投货物至少48个月的免费质量保证期，质保期自最终验收合格之日起开始计算。若货物在故障报修电话通知起由于故障问题未及时维修导致学生无法使用超过3天，质保期自动延长相应天数（延长天数从故障电话通知之日开始计算）。</w:t>
      </w:r>
    </w:p>
    <w:p>
      <w:pPr>
        <w:pStyle w:val="null3"/>
        <w:ind w:firstLine="640"/>
        <w:jc w:val="both"/>
      </w:pPr>
      <w:r>
        <w:rPr>
          <w:rFonts w:ascii="仿宋_gb2312" w:hAnsi="仿宋_gb2312" w:cs="仿宋_gb2312" w:eastAsia="仿宋_gb2312"/>
          <w:sz w:val="32"/>
        </w:rPr>
        <w:t>6.3质保期内货物一旦出现故障，成交供应商响应时间不超过4小时，检修人员在2个工作日内到设备安装地点及时排除故障，技术人员在12小时内完成系统恢复正常使用；如果无法恢复的，成交供应商应负责联系厂家技术人员到现场排除故障，厂方人员接到报修后，响应时间不超过24小时；技术人员在72小时内不能排除故障时，成交供应商应提供与该系统规格、技术指标相一致的备品，并在到现场完成系统更换及指导工作，以保证实验教学正常运行。</w:t>
      </w:r>
    </w:p>
    <w:p>
      <w:pPr>
        <w:pStyle w:val="null3"/>
        <w:ind w:firstLine="640"/>
        <w:jc w:val="both"/>
      </w:pPr>
      <w:r>
        <w:rPr>
          <w:rFonts w:ascii="仿宋_gb2312" w:hAnsi="仿宋_gb2312" w:cs="仿宋_gb2312" w:eastAsia="仿宋_gb2312"/>
          <w:sz w:val="32"/>
        </w:rPr>
        <w:t>6.4质保期结束后，成交供应商需提供终身应用咨询、技术帮助及维护；货物一旦出现故障，投标人需协助采购人对货物进行维修，远程不能解决的，成交供应商需派出技术人员2个工作日内到现场进行维修，只收取人员差旅费，对设备故障需要更换的配件以成本价提供。</w:t>
      </w:r>
    </w:p>
    <w:p>
      <w:pPr>
        <w:pStyle w:val="null3"/>
        <w:ind w:firstLine="640"/>
        <w:jc w:val="both"/>
      </w:pPr>
      <w:r>
        <w:rPr>
          <w:rFonts w:ascii="仿宋_gb2312" w:hAnsi="仿宋_gb2312" w:cs="仿宋_gb2312" w:eastAsia="仿宋_gb2312"/>
          <w:sz w:val="32"/>
        </w:rPr>
        <w:t>6.5履行所承诺的其他服务条款。</w:t>
      </w:r>
    </w:p>
    <w:p>
      <w:pPr>
        <w:pStyle w:val="null3"/>
        <w:ind w:firstLine="640"/>
        <w:jc w:val="both"/>
      </w:pPr>
      <w:r>
        <w:rPr>
          <w:rFonts w:ascii="仿宋_gb2312" w:hAnsi="仿宋_gb2312" w:cs="仿宋_gb2312" w:eastAsia="仿宋_gb2312"/>
          <w:sz w:val="32"/>
        </w:rPr>
        <w:t>7报价要求</w:t>
      </w:r>
    </w:p>
    <w:p>
      <w:pPr>
        <w:pStyle w:val="null3"/>
        <w:ind w:firstLine="640"/>
        <w:jc w:val="both"/>
      </w:pPr>
      <w:r>
        <w:rPr>
          <w:rFonts w:ascii="仿宋_gb2312" w:hAnsi="仿宋_gb2312" w:cs="仿宋_gb2312" w:eastAsia="仿宋_gb2312"/>
          <w:sz w:val="32"/>
        </w:rPr>
        <w:t>7.1</w:t>
      </w:r>
      <w:r>
        <w:rPr>
          <w:rFonts w:ascii="仿宋_gb2312" w:hAnsi="仿宋_gb2312" w:cs="仿宋_gb2312" w:eastAsia="仿宋_gb2312"/>
          <w:sz w:val="32"/>
        </w:rPr>
        <w:t>投标人应对照</w:t>
      </w:r>
      <w:r>
        <w:rPr>
          <w:rFonts w:ascii="仿宋_gb2312" w:hAnsi="仿宋_gb2312" w:cs="仿宋_gb2312" w:eastAsia="仿宋_gb2312"/>
          <w:sz w:val="32"/>
        </w:rPr>
        <w:t>《采购标的一览表》</w:t>
      </w:r>
      <w:r>
        <w:rPr>
          <w:rFonts w:ascii="仿宋_gb2312" w:hAnsi="仿宋_gb2312" w:cs="仿宋_gb2312" w:eastAsia="仿宋_gb2312"/>
          <w:sz w:val="32"/>
        </w:rPr>
        <w:t>列出每款家具的投标单价</w:t>
      </w:r>
      <w:r>
        <w:rPr>
          <w:rFonts w:ascii="仿宋_gb2312" w:hAnsi="仿宋_gb2312" w:cs="仿宋_gb2312" w:eastAsia="仿宋_gb2312"/>
          <w:sz w:val="32"/>
        </w:rPr>
        <w:t>（货物一览表中有每个货物的分项</w:t>
      </w:r>
      <w:r>
        <w:rPr>
          <w:rFonts w:ascii="仿宋_gb2312" w:hAnsi="仿宋_gb2312" w:cs="仿宋_gb2312" w:eastAsia="仿宋_gb2312"/>
          <w:sz w:val="32"/>
        </w:rPr>
        <w:t>报价及总价都不得超过最高限价</w:t>
      </w:r>
      <w:r>
        <w:rPr>
          <w:rFonts w:ascii="仿宋_gb2312" w:hAnsi="仿宋_gb2312" w:cs="仿宋_gb2312" w:eastAsia="仿宋_gb2312"/>
          <w:sz w:val="32"/>
        </w:rPr>
        <w:t>）</w:t>
      </w:r>
      <w:r>
        <w:rPr>
          <w:rFonts w:ascii="仿宋_gb2312" w:hAnsi="仿宋_gb2312" w:cs="仿宋_gb2312" w:eastAsia="仿宋_gb2312"/>
          <w:sz w:val="32"/>
        </w:rPr>
        <w:t>（详细列出货物配置与明细报价）和投标总价，</w:t>
      </w:r>
      <w:r>
        <w:rPr>
          <w:rFonts w:ascii="仿宋_gb2312" w:hAnsi="仿宋_gb2312" w:cs="仿宋_gb2312" w:eastAsia="仿宋_gb2312"/>
          <w:sz w:val="32"/>
        </w:rPr>
        <w:t>并形成报价清单上传投标文件的报价部分</w:t>
      </w:r>
      <w:r>
        <w:rPr>
          <w:rFonts w:ascii="仿宋_gb2312" w:hAnsi="仿宋_gb2312" w:cs="仿宋_gb2312" w:eastAsia="仿宋_gb2312"/>
          <w:sz w:val="32"/>
        </w:rPr>
        <w:t>，</w:t>
      </w:r>
      <w:r>
        <w:rPr>
          <w:rFonts w:ascii="仿宋_gb2312" w:hAnsi="仿宋_gb2312" w:cs="仿宋_gb2312" w:eastAsia="仿宋_gb2312"/>
          <w:sz w:val="32"/>
        </w:rPr>
        <w:t>投标文件的技术商务部分不得出现任何报价部分的内容，否则按无效</w:t>
      </w:r>
      <w:r>
        <w:rPr>
          <w:rFonts w:ascii="仿宋_gb2312" w:hAnsi="仿宋_gb2312" w:cs="仿宋_gb2312" w:eastAsia="仿宋_gb2312"/>
          <w:sz w:val="32"/>
        </w:rPr>
        <w:t>投标处理。</w:t>
      </w:r>
      <w:r>
        <w:rPr>
          <w:rFonts w:ascii="仿宋_gb2312" w:hAnsi="仿宋_gb2312" w:cs="仿宋_gb2312" w:eastAsia="仿宋_gb2312"/>
          <w:sz w:val="32"/>
        </w:rPr>
        <w:t>供应商对每种货物只允许有一个报价，采购人不接受有任何选择的报价。</w:t>
      </w:r>
    </w:p>
    <w:p>
      <w:pPr>
        <w:pStyle w:val="null3"/>
        <w:ind w:firstLine="640"/>
        <w:jc w:val="both"/>
      </w:pPr>
      <w:r>
        <w:rPr>
          <w:rFonts w:ascii="仿宋_gb2312" w:hAnsi="仿宋_gb2312" w:cs="仿宋_gb2312" w:eastAsia="仿宋_gb2312"/>
          <w:sz w:val="32"/>
        </w:rPr>
        <w:t>7.2供应商的报价应包含一切税金、货物、安装调试、验收、售后服务等费用。上述价格在相关合同交货期内为不变价。</w:t>
      </w:r>
    </w:p>
    <w:p>
      <w:pPr>
        <w:pStyle w:val="null3"/>
        <w:ind w:firstLine="640"/>
        <w:jc w:val="both"/>
      </w:pPr>
      <w:r>
        <w:rPr>
          <w:rFonts w:ascii="仿宋_gb2312" w:hAnsi="仿宋_gb2312" w:cs="仿宋_gb2312" w:eastAsia="仿宋_gb2312"/>
          <w:sz w:val="32"/>
        </w:rPr>
        <w:t>7.3供应商应用人民币报价。</w:t>
      </w:r>
    </w:p>
    <w:p>
      <w:pPr>
        <w:pStyle w:val="null3"/>
        <w:ind w:firstLine="640"/>
        <w:jc w:val="both"/>
      </w:pPr>
      <w:r>
        <w:rPr>
          <w:rFonts w:ascii="仿宋_gb2312" w:hAnsi="仿宋_gb2312" w:cs="仿宋_gb2312" w:eastAsia="仿宋_gb2312"/>
          <w:sz w:val="32"/>
        </w:rPr>
        <w:t>8违约责任</w:t>
      </w:r>
    </w:p>
    <w:p>
      <w:pPr>
        <w:pStyle w:val="null3"/>
        <w:ind w:firstLine="640"/>
        <w:jc w:val="both"/>
      </w:pPr>
      <w:r>
        <w:rPr>
          <w:rFonts w:ascii="仿宋_gb2312" w:hAnsi="仿宋_gb2312" w:cs="仿宋_gb2312" w:eastAsia="仿宋_gb2312"/>
          <w:sz w:val="32"/>
        </w:rPr>
        <w:t>8.1因成交供应商原因造成采购合同无法按时签订，视为成交供应商违约，每延误一日，乙方应按中标总金额3‰支付给甲方违约金赔偿。</w:t>
      </w:r>
    </w:p>
    <w:p>
      <w:pPr>
        <w:pStyle w:val="null3"/>
        <w:ind w:firstLine="640"/>
        <w:jc w:val="both"/>
      </w:pPr>
      <w:r>
        <w:rPr>
          <w:rFonts w:ascii="仿宋_gb2312" w:hAnsi="仿宋_gb2312" w:cs="仿宋_gb2312" w:eastAsia="仿宋_gb2312"/>
          <w:sz w:val="32"/>
        </w:rPr>
        <w:t>8.2在签订采购合同之后，未经采购人同意单方面终止合同的，中标人除了应向采购人赔偿因合同终止导致的损失外，还应向采购人偿付该合同款总额30%的违约金。</w:t>
      </w:r>
    </w:p>
    <w:p>
      <w:pPr>
        <w:pStyle w:val="null3"/>
        <w:ind w:firstLine="640"/>
        <w:jc w:val="both"/>
      </w:pPr>
      <w:r>
        <w:rPr>
          <w:rFonts w:ascii="仿宋_gb2312" w:hAnsi="仿宋_gb2312" w:cs="仿宋_gb2312" w:eastAsia="仿宋_gb2312"/>
          <w:sz w:val="32"/>
        </w:rPr>
        <w:t>8.3因中标人违约对采购人造成损失的赔偿金及合同约定的违约金均可由采购人从未支付的合同款或履约保证金中扣除或在通知时限内缴清</w:t>
      </w:r>
    </w:p>
    <w:p>
      <w:pPr>
        <w:pStyle w:val="null3"/>
        <w:ind w:firstLine="640"/>
        <w:jc w:val="both"/>
      </w:pPr>
      <w:r>
        <w:rPr>
          <w:rFonts w:ascii="仿宋_gb2312" w:hAnsi="仿宋_gb2312" w:cs="仿宋_gb2312" w:eastAsia="仿宋_gb2312"/>
          <w:sz w:val="32"/>
        </w:rPr>
        <w:t>8.4因成交供应商原因发生重大质量事故，除依约承担赔偿责任外，还将按有关质量管理办法规定执行。同时，采购人有权保留更换成交供应商的权利，并报相关行政主管部门处罚。</w:t>
      </w:r>
    </w:p>
    <w:p>
      <w:pPr>
        <w:pStyle w:val="null3"/>
        <w:ind w:firstLine="640"/>
        <w:jc w:val="both"/>
      </w:pPr>
      <w:r>
        <w:rPr>
          <w:rFonts w:ascii="仿宋_gb2312" w:hAnsi="仿宋_gb2312" w:cs="仿宋_gb2312" w:eastAsia="仿宋_gb2312"/>
          <w:sz w:val="32"/>
        </w:rPr>
        <w:t>8.5在明确违约责任后，成交供应商应在接到书面通知书起七天内支付违约金、赔偿金等。</w:t>
      </w:r>
    </w:p>
    <w:p>
      <w:pPr>
        <w:pStyle w:val="null3"/>
        <w:ind w:firstLine="640"/>
        <w:jc w:val="both"/>
      </w:pPr>
      <w:r>
        <w:rPr>
          <w:rFonts w:ascii="仿宋_gb2312" w:hAnsi="仿宋_gb2312" w:cs="仿宋_gb2312" w:eastAsia="仿宋_gb2312"/>
          <w:sz w:val="32"/>
        </w:rPr>
        <w:t>9.商务条款响应要求</w:t>
      </w:r>
    </w:p>
    <w:p>
      <w:pPr>
        <w:pStyle w:val="null3"/>
        <w:ind w:firstLine="640"/>
        <w:jc w:val="both"/>
      </w:pPr>
      <w:r>
        <w:rPr>
          <w:rFonts w:ascii="仿宋_gb2312" w:hAnsi="仿宋_gb2312" w:cs="仿宋_gb2312" w:eastAsia="仿宋_gb2312"/>
          <w:sz w:val="32"/>
        </w:rPr>
        <w:t>本部分所述的保修期及售后服务、付款方式、交货时间、交货地点、验收、履约保证金等商务条款，供应商应充分响应，并在递交的投标文件中阐明，否则评委有权酌情认定为实质性或重大负偏离。</w:t>
      </w:r>
    </w:p>
    <w:p>
      <w:pPr>
        <w:pStyle w:val="null3"/>
        <w:ind w:firstLine="640"/>
        <w:jc w:val="both"/>
      </w:pPr>
      <w:r>
        <w:rPr>
          <w:rFonts w:ascii="仿宋_gb2312" w:hAnsi="仿宋_gb2312" w:cs="仿宋_gb2312" w:eastAsia="仿宋_gb2312"/>
          <w:sz w:val="32"/>
        </w:rPr>
        <w:t>10注意事项</w:t>
      </w:r>
    </w:p>
    <w:p>
      <w:pPr>
        <w:pStyle w:val="null3"/>
        <w:ind w:firstLine="640"/>
        <w:jc w:val="both"/>
      </w:pPr>
      <w:r>
        <w:rPr>
          <w:rFonts w:ascii="仿宋_gb2312" w:hAnsi="仿宋_gb2312" w:cs="仿宋_gb2312" w:eastAsia="仿宋_gb2312"/>
          <w:sz w:val="32"/>
        </w:rPr>
        <w:t>10.1供应商应遵守国家有关法律、规章，不得提供虚假资料，不得串通报价；成交供应商产生后，不得拒绝签订《政府采购合同》。</w:t>
      </w:r>
    </w:p>
    <w:p>
      <w:pPr>
        <w:pStyle w:val="null3"/>
        <w:ind w:firstLine="640"/>
        <w:jc w:val="both"/>
      </w:pPr>
      <w:r>
        <w:rPr>
          <w:rFonts w:ascii="仿宋_gb2312" w:hAnsi="仿宋_gb2312" w:cs="仿宋_gb2312" w:eastAsia="仿宋_gb2312"/>
          <w:sz w:val="32"/>
        </w:rPr>
        <w:t>10.2 成交供应商应认真履行《政府采购合同》做好售后服务工作。</w:t>
      </w:r>
    </w:p>
    <w:p>
      <w:pPr>
        <w:pStyle w:val="null3"/>
        <w:ind w:firstLine="640"/>
        <w:jc w:val="both"/>
      </w:pPr>
      <w:r>
        <w:rPr>
          <w:rFonts w:ascii="仿宋_gb2312" w:hAnsi="仿宋_gb2312" w:cs="仿宋_gb2312" w:eastAsia="仿宋_gb2312"/>
          <w:sz w:val="32"/>
        </w:rPr>
        <w:t>10.3 本次招标不单独提供招标货物使用地自然环境、气候条件、公用设施等情况，供应商被视为熟悉上述与履行合同有关的一切情况。</w:t>
      </w:r>
    </w:p>
    <w:p>
      <w:pPr>
        <w:pStyle w:val="null3"/>
        <w:ind w:firstLine="640"/>
        <w:jc w:val="both"/>
      </w:pPr>
      <w:r>
        <w:rPr>
          <w:rFonts w:ascii="仿宋_gb2312" w:hAnsi="仿宋_gb2312" w:cs="仿宋_gb2312" w:eastAsia="仿宋_gb2312"/>
          <w:sz w:val="32"/>
        </w:rPr>
        <w:t>10.5供应商提供的证明文件必须真实有效，供应商不得虚报各项技术指标，中标产品若不能符合技术要求，采购人有权解除合同，并向政府采购管理部门通报，因此给采购人造成的一切损失，由供应商承担。故意提供虚假材料应标的，一经查实将予以废标并按政府招标法规有关处罚规定予以处罚。</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1、采购人在确认中标结果前，可自行对中标候选人提供的符合性条款和商务技术评分项中涉及的证明资料（证书、报告等）原件进行复核，中标候选人无法提供原件复核的，按提供虚假材料谋取中标或成交的情形处理，该投标人为无效投标，本项目顺延确定中标候选人或重新招标。 2、采购人应当自中标通知书发出之日起20日内，按照招标文件和中标人投标文件的规定，与中标人签订合同，并在福建省政府采购网（泉州市）上发布合同公告。 3、采购人在对项目验收完成后，应当将验收情况材料送至泉州市政府采购中心。 4、质疑函的格式应当参照财政部官方网站提供的质疑函范本（http://gks.mof.gov.cn/ztztz/zhengfucaigouguanli/201802/t20180201_2804589.htm），针对同一采购程序环节的质疑应当在法定质疑期内一次性提出，并附上供 应商在福建省政府采购网（泉州市）已依法获取招标文件的回执（须包含获取时间），否则泉州市政府采购中心将不予受理。 5、除银行、保险、石油石化、电力、电信等行业外，不接受其他行业法人的分支机构等不能独立承担民事责任的主体参与投标。 6、本项目若允许联合体参与投标，则投标人在投标文件中必须按照招标文件第七章规定的格式明确以联合体的确定一方的条件参与商务部分的评标，投标人未明确的，则每项商务评分均取联合体各方该项商务分最低的得分。 7、一般资格证明文件中“财务状况报告（财务报告、或资信证明）”，在当前年度4月30日前开标的项目，提供财务报告的，可提供当前年度前年的财务报告,提供的报告中必须包含带有二维码或报告编号的首页、资产负债表、利润表、现金流量表、所有者权益变动表（若有）及其附注（若有）、会计师事务所营业执照、审计人员有效证件。 提供资信证明的，可不提供开户（基本存款账户）许可证复印件。 8、投标人须根据招标文件对技术、商务要求逐项作出明确应答与承诺，未作明确应答与承诺将被视为无效投标。 9、非单一产品采购项目有多个核心产品，多家投标人提供的核心产品品 牌相同且这些相同品 牌产品的预算超过核心产品总预算50%的，视为同一品 牌，按照本招标文件中关于相同品 牌产品的规定处理。 10、关于中标（成交）供 应商申请融资业务的说明： （1）凡参与政府采购并依法取得政府采购合同的供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 （4）上述事宜详见http://cz.fjzfcg.gov.cn/。</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福建省政府采购合同（货物类）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 xml:space="preserve">甲方： </w:t>
      </w:r>
      <w:r>
        <w:rPr/>
        <w:t>___________</w:t>
      </w:r>
    </w:p>
    <w:p>
      <w:pPr>
        <w:pStyle w:val="null3"/>
        <w:jc w:val="left"/>
      </w:pPr>
      <w:r>
        <w:rPr/>
        <w:t xml:space="preserve">住所地： </w:t>
      </w:r>
      <w:r>
        <w:rPr/>
        <w:t>___________</w:t>
      </w:r>
    </w:p>
    <w:p>
      <w:pPr>
        <w:pStyle w:val="null3"/>
        <w:jc w:val="left"/>
      </w:pPr>
      <w:r>
        <w:rPr/>
        <w:t xml:space="preserve">联系人： </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r>
        <w:rPr/>
        <w:t xml:space="preserve"> 乙方： </w:t>
      </w:r>
      <w:r>
        <w:rPr/>
        <w:t>___________</w:t>
      </w:r>
    </w:p>
    <w:p>
      <w:pPr>
        <w:pStyle w:val="null3"/>
        <w:jc w:val="left"/>
      </w:pPr>
      <w:r>
        <w:rPr/>
        <w:t xml:space="preserve"> 住所地： </w:t>
      </w:r>
      <w:r>
        <w:rPr/>
        <w:t>___________</w:t>
      </w:r>
    </w:p>
    <w:p>
      <w:pPr>
        <w:pStyle w:val="null3"/>
        <w:jc w:val="left"/>
      </w:pPr>
      <w:r>
        <w:rPr/>
        <w:t xml:space="preserve"> 联系人：</w:t>
      </w:r>
      <w:r>
        <w:rPr/>
        <w:t>___________</w:t>
      </w:r>
    </w:p>
    <w:p>
      <w:pPr>
        <w:pStyle w:val="null3"/>
        <w:jc w:val="left"/>
      </w:pPr>
      <w:r>
        <w:rPr/>
        <w:t xml:space="preserve"> 联系电话：</w:t>
      </w:r>
      <w:r>
        <w:rPr/>
        <w:t>___________</w:t>
      </w:r>
    </w:p>
    <w:p>
      <w:pPr>
        <w:pStyle w:val="null3"/>
        <w:jc w:val="left"/>
      </w:pPr>
      <w:r>
        <w:rPr/>
        <w:t xml:space="preserve"> 传真：</w:t>
      </w:r>
      <w:r>
        <w:rPr/>
        <w:t>___________</w:t>
      </w:r>
    </w:p>
    <w:p>
      <w:pPr>
        <w:pStyle w:val="null3"/>
        <w:jc w:val="left"/>
      </w:pPr>
      <w:r>
        <w:rPr/>
        <w:t xml:space="preserve"> 电子邮箱：</w:t>
      </w:r>
      <w:r>
        <w:rPr/>
        <w:t>___________</w:t>
      </w:r>
    </w:p>
    <w:p>
      <w:pPr>
        <w:pStyle w:val="null3"/>
        <w:jc w:val="left"/>
      </w:pPr>
      <w:r>
        <w:rPr/>
        <w:t>根据项目编号为</w:t>
      </w:r>
      <w:r>
        <w:rPr/>
        <w:t>________</w:t>
      </w:r>
      <w:r>
        <w:rPr/>
        <w:t xml:space="preserve"> 的 </w:t>
      </w:r>
      <w:r>
        <w:rPr/>
        <w:t>___________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三、合同金额</w:t>
      </w:r>
    </w:p>
    <w:p>
      <w:pPr>
        <w:pStyle w:val="null3"/>
        <w:jc w:val="left"/>
      </w:pPr>
      <w:r>
        <w:rPr/>
        <w:t xml:space="preserve"> 3.1合同总价：人民币（大写）</w:t>
      </w:r>
      <w:r>
        <w:rPr/>
        <w:t>_________</w:t>
      </w:r>
      <w:r>
        <w:rPr/>
        <w:t xml:space="preserve"> 元（￥</w:t>
      </w:r>
      <w:r>
        <w:rPr/>
        <w:t>_________</w:t>
      </w:r>
      <w:r>
        <w:rPr/>
        <w:t>元）；</w:t>
      </w:r>
    </w:p>
    <w:p>
      <w:pPr>
        <w:pStyle w:val="null3"/>
        <w:jc w:val="left"/>
      </w:pPr>
      <w:r>
        <w:rPr/>
        <w:t xml:space="preserve"> 3.2合同总价组成：</w:t>
      </w:r>
      <w:r>
        <w:rPr/>
        <w:t>___________</w:t>
      </w:r>
      <w:r>
        <w:rPr/>
        <w:t>；</w:t>
      </w:r>
    </w:p>
    <w:p>
      <w:pPr>
        <w:pStyle w:val="null3"/>
        <w:jc w:val="left"/>
      </w:pPr>
      <w:r>
        <w:rPr/>
        <w:t xml:space="preserve"> 3.3其他需说明事项：</w:t>
      </w:r>
      <w:r>
        <w:rPr/>
        <w:t>___________</w:t>
      </w:r>
      <w:r>
        <w:rPr/>
        <w:t>；</w:t>
      </w:r>
    </w:p>
    <w:p>
      <w:pPr>
        <w:pStyle w:val="null3"/>
        <w:jc w:val="left"/>
        <w:outlineLvl w:val="3"/>
      </w:pPr>
      <w:r>
        <w:rPr>
          <w:b/>
          <w:sz w:val="24"/>
        </w:rPr>
        <w:t xml:space="preserve"> 四、合同标的交付</w:t>
      </w:r>
    </w:p>
    <w:p>
      <w:pPr>
        <w:pStyle w:val="null3"/>
        <w:jc w:val="left"/>
      </w:pPr>
      <w:r>
        <w:rPr/>
        <w:t xml:space="preserve"> 4.1交付时间：</w:t>
      </w:r>
      <w:r>
        <w:rPr/>
        <w:t>___________</w:t>
      </w:r>
    </w:p>
    <w:p>
      <w:pPr>
        <w:pStyle w:val="null3"/>
        <w:jc w:val="left"/>
      </w:pPr>
      <w:r>
        <w:rPr/>
        <w:t xml:space="preserve"> 4.2交付地点：</w:t>
      </w:r>
      <w:r>
        <w:rPr/>
        <w:t>___________</w:t>
      </w:r>
    </w:p>
    <w:p>
      <w:pPr>
        <w:pStyle w:val="null3"/>
        <w:jc w:val="left"/>
      </w:pPr>
      <w:r>
        <w:rPr/>
        <w:t xml:space="preserve"> 4.3交付条件：</w:t>
      </w:r>
      <w:r>
        <w:rPr/>
        <w:t>___________</w:t>
      </w:r>
    </w:p>
    <w:p>
      <w:pPr>
        <w:pStyle w:val="null3"/>
        <w:jc w:val="left"/>
      </w:pPr>
      <w:r>
        <w:rPr/>
        <w:t xml:space="preserve"> 4.4供货要求：</w:t>
      </w:r>
    </w:p>
    <w:p>
      <w:pPr>
        <w:pStyle w:val="null3"/>
        <w:jc w:val="left"/>
      </w:pPr>
      <w:r>
        <w:rPr/>
        <w:t xml:space="preserve"> (1)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 xml:space="preserve"> (2)乙方提供的全部货物均应采用标准保护措施进行包装，除采购文件中的采购需求另有要求外，乙方所提供的货物包装应当参照财政部办公厅等联合印发的《关于印发&lt;商品包装政府采购需求标准（试行）&gt;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 xml:space="preserve"> (3)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 xml:space="preserve"> (4)乙方完全遵守《中华人民共和国劳动合同法》有关规定和《中华人民共和国妇女权益保障法》中关于“劳动和社会保障权益”的有关要求。</w:t>
      </w:r>
    </w:p>
    <w:p>
      <w:pPr>
        <w:pStyle w:val="null3"/>
        <w:jc w:val="left"/>
      </w:pPr>
      <w:r>
        <w:rPr/>
        <w:t xml:space="preserve"> （5）其他供货要求：</w:t>
      </w:r>
    </w:p>
    <w:p>
      <w:pPr>
        <w:pStyle w:val="null3"/>
        <w:jc w:val="left"/>
        <w:outlineLvl w:val="3"/>
      </w:pPr>
      <w:r>
        <w:rPr>
          <w:b/>
          <w:sz w:val="24"/>
        </w:rPr>
        <w:t xml:space="preserve"> 五、质量标准及要求</w:t>
      </w:r>
    </w:p>
    <w:p>
      <w:pPr>
        <w:pStyle w:val="null3"/>
        <w:jc w:val="left"/>
      </w:pPr>
      <w:r>
        <w:rPr/>
        <w:t xml:space="preserve"> 5.1质量标准及要求</w:t>
      </w:r>
    </w:p>
    <w:p>
      <w:pPr>
        <w:pStyle w:val="null3"/>
        <w:jc w:val="left"/>
      </w:pPr>
      <w:r>
        <w:rPr/>
        <w:t xml:space="preserve"> （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 xml:space="preserve"> （2）其他质量要求</w:t>
      </w:r>
    </w:p>
    <w:p>
      <w:pPr>
        <w:pStyle w:val="null3"/>
        <w:jc w:val="left"/>
      </w:pPr>
      <w:r>
        <w:rPr/>
        <w:t xml:space="preserve"> 5.2节能环保产品要求</w:t>
      </w:r>
    </w:p>
    <w:p>
      <w:pPr>
        <w:pStyle w:val="null3"/>
        <w:jc w:val="left"/>
      </w:pPr>
      <w:r>
        <w:rPr/>
        <w:t xml:space="preserve"> 5.3质量保证范围、质量保证期及售后服务</w:t>
      </w:r>
    </w:p>
    <w:p>
      <w:pPr>
        <w:pStyle w:val="null3"/>
        <w:jc w:val="left"/>
      </w:pPr>
      <w:r>
        <w:rPr/>
        <w:t xml:space="preserve"> （1）质量保证范围：</w:t>
      </w:r>
      <w:r>
        <w:rPr/>
        <w:t>___________</w:t>
      </w:r>
    </w:p>
    <w:p>
      <w:pPr>
        <w:pStyle w:val="null3"/>
        <w:jc w:val="left"/>
      </w:pPr>
      <w:r>
        <w:rPr/>
        <w:t xml:space="preserve"> （2）本合同乙方所供应的货物质量保证期自验收合格之日起</w:t>
      </w:r>
      <w:r>
        <w:rPr/>
        <w:t>{_______</w:t>
      </w:r>
      <w:r>
        <w:rPr/>
        <w:t>月。</w:t>
      </w:r>
    </w:p>
    <w:p>
      <w:pPr>
        <w:pStyle w:val="null3"/>
        <w:jc w:val="left"/>
      </w:pPr>
      <w:r>
        <w:rPr/>
        <w:t xml:space="preserve"> （3）售后服务应按法律法规和采购文件约定执行，具体如下：</w:t>
      </w:r>
    </w:p>
    <w:p>
      <w:pPr>
        <w:pStyle w:val="null3"/>
        <w:jc w:val="left"/>
      </w:pPr>
      <w:r>
        <w:rPr/>
        <w:t xml:space="preserve"> 5.4商品安全责任</w:t>
      </w:r>
    </w:p>
    <w:p>
      <w:pPr>
        <w:pStyle w:val="null3"/>
        <w:jc w:val="left"/>
      </w:pPr>
      <w:r>
        <w:rPr/>
        <w:t xml:space="preserve"> 商品安全责任应按照法律法规和采购文件的规定执行，具体如下：</w:t>
      </w:r>
    </w:p>
    <w:p>
      <w:pPr>
        <w:pStyle w:val="null3"/>
        <w:jc w:val="left"/>
        <w:outlineLvl w:val="3"/>
      </w:pPr>
      <w:r>
        <w:rPr>
          <w:b/>
          <w:sz w:val="24"/>
        </w:rPr>
        <w:t xml:space="preserve"> 六、安装调试、验收及退、换货</w:t>
      </w:r>
    </w:p>
    <w:p>
      <w:pPr>
        <w:pStyle w:val="null3"/>
        <w:jc w:val="left"/>
      </w:pPr>
      <w:r>
        <w:rPr/>
        <w:t xml:space="preserve"> 6.1安装调试、验收应按照采购文件、乙方响应文件的规定或约定进行，具体如下：</w:t>
      </w:r>
    </w:p>
    <w:p>
      <w:pPr>
        <w:pStyle w:val="null3"/>
        <w:jc w:val="left"/>
      </w:pPr>
      <w:r>
        <w:rPr/>
        <w:t>6.2本项目是否邀请其他投标人参与验收：</w:t>
      </w:r>
    </w:p>
    <w:p>
      <w:pPr>
        <w:pStyle w:val="null3"/>
        <w:jc w:val="left"/>
      </w:pPr>
      <w:r>
        <w:rPr/>
        <w:t xml:space="preserve"> 不邀请。 </w:t>
      </w:r>
      <w:r>
        <w:rPr/>
        <w:t xml:space="preserve"> 邀请，具体如下：</w:t>
      </w:r>
    </w:p>
    <w:p>
      <w:pPr>
        <w:pStyle w:val="null3"/>
        <w:jc w:val="left"/>
      </w:pPr>
      <w:r>
        <w:rPr/>
        <w:t>6.3本项目是否邀请专家参与验收：</w:t>
      </w:r>
    </w:p>
    <w:p>
      <w:pPr>
        <w:pStyle w:val="null3"/>
        <w:jc w:val="left"/>
      </w:pPr>
      <w:r>
        <w:rPr/>
        <w:t xml:space="preserve"> 不邀请。 </w:t>
      </w:r>
      <w:r>
        <w:rPr/>
        <w:t xml:space="preserve"> 邀请，具体如下：</w:t>
      </w:r>
    </w:p>
    <w:p>
      <w:pPr>
        <w:pStyle w:val="null3"/>
        <w:jc w:val="left"/>
      </w:pPr>
      <w:r>
        <w:rPr/>
        <w:t>6.4本项目是否邀请国家认可的质量检测机构参与验收：</w:t>
      </w:r>
    </w:p>
    <w:p>
      <w:pPr>
        <w:pStyle w:val="null3"/>
        <w:jc w:val="left"/>
      </w:pPr>
      <w:r>
        <w:rPr/>
        <w:t xml:space="preserve"> 不邀请。 </w:t>
      </w:r>
      <w:r>
        <w:rPr/>
        <w:t xml:space="preserve"> 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 xml:space="preserve"> 七、资金支付方式、条件和时间</w:t>
      </w:r>
      <w:r>
        <w:br/>
      </w:r>
    </w:p>
    <w:p>
      <w:pPr>
        <w:pStyle w:val="null3"/>
        <w:jc w:val="left"/>
        <w:outlineLvl w:val="3"/>
      </w:pPr>
      <w:r>
        <w:rPr>
          <w:b/>
          <w:sz w:val="24"/>
        </w:rPr>
        <w:t xml:space="preserve"> 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 xml:space="preserve"> 九、合同期限</w:t>
      </w:r>
      <w:r>
        <w:br/>
      </w:r>
    </w:p>
    <w:p>
      <w:pPr>
        <w:pStyle w:val="null3"/>
        <w:jc w:val="left"/>
        <w:outlineLvl w:val="3"/>
      </w:pPr>
      <w:r>
        <w:rPr>
          <w:b/>
          <w:sz w:val="24"/>
        </w:rPr>
        <w:t xml:space="preserve"> 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（2）甲方无故逾期验收和办理合同款项支付手续的,甲方应按逾期付款总额每日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 xml:space="preserve"> 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r>
        <w:rPr/>
        <w:t xml:space="preserve"> 1、提交仲裁委员会仲裁，具体如下：</w:t>
      </w:r>
    </w:p>
    <w:p>
      <w:pPr>
        <w:pStyle w:val="null3"/>
        <w:jc w:val="left"/>
      </w:pPr>
      <w:r>
        <w:rPr/>
        <w:t xml:space="preserve"> 2、向人民法院提起诉讼，具体如下：</w:t>
      </w:r>
    </w:p>
    <w:p>
      <w:pPr>
        <w:pStyle w:val="null3"/>
        <w:jc w:val="left"/>
        <w:outlineLvl w:val="3"/>
      </w:pPr>
      <w:r>
        <w:rPr>
          <w:b/>
          <w:sz w:val="24"/>
        </w:rPr>
        <w:t xml:space="preserve"> 十四、合同其他条款</w:t>
      </w:r>
      <w:r>
        <w:br/>
      </w:r>
    </w:p>
    <w:p>
      <w:pPr>
        <w:pStyle w:val="null3"/>
        <w:jc w:val="left"/>
        <w:outlineLvl w:val="3"/>
      </w:pPr>
      <w:r>
        <w:rPr>
          <w:b/>
          <w:sz w:val="24"/>
        </w:rPr>
        <w:t xml:space="preserve"> 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 xml:space="preserve"> 十六、合同附件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w:t>
      </w:r>
    </w:p>
    <w:p>
      <w:pPr>
        <w:pStyle w:val="null3"/>
        <w:jc w:val="left"/>
      </w:pPr>
      <w:r>
        <w:rPr/>
        <w:t>签订日期：</w:t>
      </w:r>
      <w:r>
        <w:rPr/>
        <w:t>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w:t>
            </w:r>
          </w:p>
        </w:tc>
        <w:tc>
          <w:tcPr>
            <w:tcW w:type="dxa" w:w="923"/>
          </w:tcPr>
          <w:p>
            <w:pPr>
              <w:pStyle w:val="null3"/>
              <w:jc w:val="left"/>
            </w:pPr>
            <w:r>
              <w:rPr/>
              <w:t>数量</w:t>
            </w:r>
          </w:p>
        </w:tc>
        <w:tc>
          <w:tcPr>
            <w:tcW w:type="dxa" w:w="923"/>
          </w:tcPr>
          <w:p>
            <w:pPr>
              <w:pStyle w:val="null3"/>
              <w:jc w:val="left"/>
            </w:pPr>
            <w:r>
              <w:rPr/>
              <w:t>总价</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1.4同一采购包中，“单价”×“数量”=“总价”，全部品目号“总价”的合计金额应与《开标一览表》中相应采购包列示的“投标总价”保持一致。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本采购包内属于节能、环境标志产品的报价情况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w:t>
            </w:r>
          </w:p>
        </w:tc>
        <w:tc>
          <w:tcPr>
            <w:tcW w:type="dxa" w:w="1187"/>
          </w:tcPr>
          <w:p>
            <w:pPr>
              <w:pStyle w:val="null3"/>
              <w:jc w:val="left"/>
            </w:pPr>
            <w:r>
              <w:rPr/>
              <w:t>数量</w:t>
            </w:r>
          </w:p>
        </w:tc>
        <w:tc>
          <w:tcPr>
            <w:tcW w:type="dxa" w:w="1187"/>
          </w:tcPr>
          <w:p>
            <w:pPr>
              <w:pStyle w:val="null3"/>
              <w:jc w:val="left"/>
            </w:pPr>
            <w:r>
              <w:rPr/>
              <w:t>总价</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报价</w:t>
            </w:r>
          </w:p>
        </w:tc>
        <w:tc>
          <w:tcPr>
            <w:tcW w:type="dxa" w:w="7122"/>
            <w:gridSpan w:val="6"/>
          </w:tcPr>
          <w:p>
            <w:pPr>
              <w:pStyle w:val="null3"/>
              <w:jc w:val="left"/>
            </w:pPr>
            <w:r>
              <w:rPr/>
              <w:t>采购包内属于节能、环境标志产品的报价总金额：</w:t>
            </w:r>
            <w:r>
              <w:rPr>
                <w:u w:val="single"/>
              </w:rPr>
              <w:t>　　　　　。</w:t>
            </w:r>
          </w:p>
        </w:tc>
      </w:tr>
    </w:tbl>
    <w:p>
      <w:pPr>
        <w:pStyle w:val="null3"/>
        <w:ind w:firstLine="480"/>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w:t>
      </w:r>
    </w:p>
    <w:p>
      <w:pPr>
        <w:pStyle w:val="null3"/>
        <w:ind w:firstLine="480"/>
        <w:jc w:val="left"/>
      </w:pPr>
      <w:r>
        <w:rPr/>
        <w:t>3.4若无节能、环境标志产品，不填写本表。</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