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bidi w:val="0"/>
        <w:spacing w:line="500" w:lineRule="exact"/>
        <w:jc w:val="center"/>
        <w:outlineLvl w:val="4"/>
        <w:rPr>
          <w:rFonts w:hint="eastAsia" w:ascii="宋体" w:hAnsi="宋体" w:cs="宋体"/>
          <w:b/>
          <w:bCs/>
          <w:color w:val="333333"/>
          <w:kern w:val="0"/>
          <w:sz w:val="36"/>
          <w:szCs w:val="36"/>
        </w:rPr>
      </w:pPr>
      <w:bookmarkStart w:id="0" w:name="OLE_LINK4"/>
      <w:r>
        <w:rPr>
          <w:rFonts w:hint="eastAsia" w:ascii="宋体" w:hAnsi="宋体" w:cs="宋体"/>
          <w:b/>
          <w:bCs/>
          <w:color w:val="333333"/>
          <w:kern w:val="0"/>
          <w:sz w:val="36"/>
          <w:szCs w:val="36"/>
          <w:lang w:eastAsia="zh-CN"/>
        </w:rPr>
        <w:t>泉州师范学院音乐</w:t>
      </w:r>
      <w:r>
        <w:rPr>
          <w:rFonts w:hint="eastAsia" w:ascii="宋体" w:hAnsi="宋体" w:cs="宋体"/>
          <w:b/>
          <w:bCs/>
          <w:color w:val="333333"/>
          <w:kern w:val="0"/>
          <w:sz w:val="36"/>
          <w:szCs w:val="36"/>
        </w:rPr>
        <w:t>与</w:t>
      </w:r>
      <w:r>
        <w:rPr>
          <w:rFonts w:hint="eastAsia" w:ascii="宋体" w:hAnsi="宋体" w:cs="宋体"/>
          <w:b/>
          <w:bCs/>
          <w:color w:val="333333"/>
          <w:kern w:val="0"/>
          <w:sz w:val="36"/>
          <w:szCs w:val="36"/>
          <w:lang w:eastAsia="zh-CN"/>
        </w:rPr>
        <w:t>舞蹈</w:t>
      </w:r>
      <w:r>
        <w:rPr>
          <w:rFonts w:hint="eastAsia" w:ascii="宋体" w:hAnsi="宋体" w:cs="宋体"/>
          <w:b/>
          <w:bCs/>
          <w:color w:val="333333"/>
          <w:kern w:val="0"/>
          <w:sz w:val="36"/>
          <w:szCs w:val="36"/>
        </w:rPr>
        <w:t>学院</w:t>
      </w:r>
    </w:p>
    <w:p>
      <w:pPr>
        <w:keepNext w:val="0"/>
        <w:keepLines w:val="0"/>
        <w:pageBreakBefore w:val="0"/>
        <w:widowControl/>
        <w:shd w:val="clear" w:color="auto" w:fill="FFFFFF"/>
        <w:kinsoku/>
        <w:wordWrap/>
        <w:overflowPunct/>
        <w:topLinePunct w:val="0"/>
        <w:bidi w:val="0"/>
        <w:spacing w:line="500" w:lineRule="exact"/>
        <w:jc w:val="center"/>
        <w:outlineLvl w:val="4"/>
        <w:rPr>
          <w:rFonts w:hint="eastAsia" w:ascii="宋体" w:hAnsi="宋体" w:cs="宋体"/>
          <w:b/>
          <w:bCs/>
          <w:color w:val="333333"/>
          <w:kern w:val="0"/>
          <w:sz w:val="36"/>
          <w:szCs w:val="36"/>
          <w:lang w:eastAsia="zh-CN"/>
        </w:rPr>
      </w:pPr>
      <w:r>
        <w:rPr>
          <w:rFonts w:hint="eastAsia" w:ascii="宋体" w:hAnsi="宋体" w:cs="宋体"/>
          <w:b/>
          <w:bCs/>
          <w:color w:val="333333"/>
          <w:kern w:val="0"/>
          <w:sz w:val="36"/>
          <w:szCs w:val="36"/>
        </w:rPr>
        <w:t>2</w:t>
      </w:r>
      <w:r>
        <w:rPr>
          <w:rFonts w:hint="eastAsia" w:ascii="宋体" w:hAnsi="宋体" w:cs="宋体"/>
          <w:b/>
          <w:bCs/>
          <w:color w:val="333333"/>
          <w:kern w:val="0"/>
          <w:sz w:val="36"/>
          <w:szCs w:val="36"/>
          <w:lang w:val="en-US" w:eastAsia="zh-CN"/>
        </w:rPr>
        <w:t>021</w:t>
      </w:r>
      <w:r>
        <w:rPr>
          <w:rFonts w:hint="eastAsia" w:ascii="宋体" w:hAnsi="宋体" w:cs="宋体"/>
          <w:b/>
          <w:bCs/>
          <w:color w:val="333333"/>
          <w:kern w:val="0"/>
          <w:sz w:val="36"/>
          <w:szCs w:val="36"/>
        </w:rPr>
        <w:t>年艺术硕士</w:t>
      </w:r>
      <w:r>
        <w:rPr>
          <w:rFonts w:hint="eastAsia" w:ascii="宋体" w:hAnsi="宋体" w:cs="宋体"/>
          <w:b/>
          <w:bCs/>
          <w:color w:val="333333"/>
          <w:kern w:val="0"/>
          <w:sz w:val="36"/>
          <w:szCs w:val="36"/>
          <w:lang w:eastAsia="zh-CN"/>
        </w:rPr>
        <w:t>专业</w:t>
      </w:r>
      <w:r>
        <w:rPr>
          <w:rFonts w:hint="eastAsia" w:ascii="宋体" w:hAnsi="宋体" w:cs="宋体"/>
          <w:b/>
          <w:bCs/>
          <w:color w:val="333333"/>
          <w:kern w:val="0"/>
          <w:sz w:val="36"/>
          <w:szCs w:val="36"/>
          <w:lang w:val="en-US" w:eastAsia="zh-CN"/>
        </w:rPr>
        <w:t>学位</w:t>
      </w:r>
      <w:r>
        <w:rPr>
          <w:rFonts w:hint="eastAsia" w:ascii="宋体" w:hAnsi="宋体" w:cs="宋体"/>
          <w:b/>
          <w:bCs/>
          <w:color w:val="333333"/>
          <w:kern w:val="0"/>
          <w:sz w:val="36"/>
          <w:szCs w:val="36"/>
          <w:lang w:eastAsia="zh-CN"/>
        </w:rPr>
        <w:t>音乐、舞蹈领域研究生</w:t>
      </w:r>
    </w:p>
    <w:p>
      <w:pPr>
        <w:keepNext w:val="0"/>
        <w:keepLines w:val="0"/>
        <w:pageBreakBefore w:val="0"/>
        <w:widowControl/>
        <w:shd w:val="clear" w:color="auto" w:fill="FFFFFF"/>
        <w:kinsoku/>
        <w:wordWrap/>
        <w:overflowPunct/>
        <w:topLinePunct w:val="0"/>
        <w:bidi w:val="0"/>
        <w:spacing w:line="500" w:lineRule="exact"/>
        <w:jc w:val="center"/>
        <w:outlineLvl w:val="4"/>
        <w:rPr>
          <w:rFonts w:hint="eastAsia" w:ascii="宋体" w:hAnsi="宋体" w:cs="宋体"/>
          <w:b/>
          <w:bCs/>
          <w:color w:val="333333"/>
          <w:kern w:val="0"/>
          <w:sz w:val="36"/>
          <w:szCs w:val="36"/>
          <w:lang w:eastAsia="zh-CN"/>
        </w:rPr>
      </w:pPr>
      <w:r>
        <w:rPr>
          <w:rFonts w:hint="eastAsia" w:ascii="宋体" w:hAnsi="宋体" w:cs="宋体"/>
          <w:b/>
          <w:bCs/>
          <w:color w:val="333333"/>
          <w:kern w:val="0"/>
          <w:sz w:val="32"/>
          <w:szCs w:val="32"/>
          <w:lang w:eastAsia="zh-CN"/>
        </w:rPr>
        <w:t>第一次</w:t>
      </w:r>
      <w:r>
        <w:rPr>
          <w:rFonts w:hint="eastAsia" w:ascii="宋体" w:hAnsi="宋体" w:cs="宋体"/>
          <w:b/>
          <w:bCs/>
          <w:color w:val="333333"/>
          <w:kern w:val="0"/>
          <w:sz w:val="36"/>
          <w:szCs w:val="36"/>
          <w:lang w:eastAsia="zh-CN"/>
        </w:rPr>
        <w:t>缺额调剂信息</w:t>
      </w:r>
      <w:bookmarkEnd w:id="0"/>
    </w:p>
    <w:p>
      <w:pPr>
        <w:pStyle w:val="3"/>
        <w:keepNext w:val="0"/>
        <w:keepLines w:val="0"/>
        <w:pageBreakBefore w:val="0"/>
        <w:shd w:val="clear" w:color="auto" w:fill="FFFFFF"/>
        <w:kinsoku/>
        <w:wordWrap/>
        <w:overflowPunct/>
        <w:topLinePunct w:val="0"/>
        <w:bidi w:val="0"/>
        <w:adjustRightInd w:val="0"/>
        <w:spacing w:before="0" w:beforeAutospacing="0" w:after="0" w:afterAutospacing="0" w:line="500" w:lineRule="exact"/>
        <w:ind w:right="360" w:firstLine="600" w:firstLineChars="200"/>
        <w:textAlignment w:val="baseline"/>
        <w:rPr>
          <w:rFonts w:hint="eastAsia" w:ascii="仿宋" w:hAnsi="仿宋" w:eastAsia="仿宋" w:cs="仿宋"/>
          <w:b w:val="0"/>
          <w:bCs w:val="0"/>
          <w:color w:val="auto"/>
          <w:kern w:val="2"/>
          <w:sz w:val="30"/>
          <w:szCs w:val="30"/>
          <w:lang w:val="en-US" w:eastAsia="zh-CN" w:bidi="ar-SA"/>
        </w:rPr>
      </w:pPr>
    </w:p>
    <w:p>
      <w:pPr>
        <w:pStyle w:val="3"/>
        <w:keepNext w:val="0"/>
        <w:keepLines w:val="0"/>
        <w:pageBreakBefore w:val="0"/>
        <w:shd w:val="clear" w:color="auto" w:fill="FFFFFF"/>
        <w:kinsoku/>
        <w:wordWrap/>
        <w:overflowPunct/>
        <w:topLinePunct w:val="0"/>
        <w:bidi w:val="0"/>
        <w:adjustRightInd w:val="0"/>
        <w:spacing w:before="0" w:beforeAutospacing="0" w:after="0" w:afterAutospacing="0" w:line="500" w:lineRule="exact"/>
        <w:ind w:right="360" w:firstLine="600" w:firstLineChars="200"/>
        <w:textAlignment w:val="baseline"/>
        <w:rPr>
          <w:rFonts w:hint="eastAsia" w:ascii="仿宋" w:hAnsi="仿宋" w:eastAsia="仿宋" w:cs="仿宋"/>
          <w:b w:val="0"/>
          <w:bCs w:val="0"/>
          <w:color w:val="auto"/>
          <w:kern w:val="2"/>
          <w:sz w:val="30"/>
          <w:szCs w:val="30"/>
          <w:lang w:val="en-US" w:eastAsia="zh-CN" w:bidi="ar-SA"/>
        </w:rPr>
      </w:pPr>
      <w:r>
        <w:rPr>
          <w:rFonts w:hint="eastAsia" w:ascii="仿宋" w:hAnsi="仿宋" w:eastAsia="仿宋" w:cs="仿宋"/>
          <w:b w:val="0"/>
          <w:bCs w:val="0"/>
          <w:color w:val="auto"/>
          <w:kern w:val="2"/>
          <w:sz w:val="30"/>
          <w:szCs w:val="30"/>
          <w:lang w:val="en-US" w:eastAsia="zh-CN" w:bidi="ar-SA"/>
        </w:rPr>
        <w:t>根据一志愿考生复试情况，音乐与舞蹈学院音乐、舞蹈领域部分方向需接收调剂生，欢迎符合调剂条件的广大考生报考：</w:t>
      </w:r>
    </w:p>
    <w:p>
      <w:pPr>
        <w:keepNext w:val="0"/>
        <w:keepLines w:val="0"/>
        <w:pageBreakBefore w:val="0"/>
        <w:widowControl/>
        <w:numPr>
          <w:ilvl w:val="0"/>
          <w:numId w:val="1"/>
        </w:numPr>
        <w:shd w:val="clear" w:color="auto" w:fill="FFFFFF"/>
        <w:kinsoku/>
        <w:wordWrap/>
        <w:overflowPunct/>
        <w:topLinePunct w:val="0"/>
        <w:bidi w:val="0"/>
        <w:spacing w:line="500" w:lineRule="exact"/>
        <w:jc w:val="left"/>
        <w:rPr>
          <w:rFonts w:hint="eastAsia" w:ascii="仿宋" w:hAnsi="仿宋" w:eastAsia="仿宋" w:cs="仿宋"/>
          <w:b/>
          <w:color w:val="333333"/>
          <w:kern w:val="0"/>
          <w:sz w:val="30"/>
          <w:szCs w:val="30"/>
          <w:lang w:eastAsia="zh-CN"/>
        </w:rPr>
      </w:pPr>
      <w:r>
        <w:rPr>
          <w:rFonts w:hint="eastAsia" w:ascii="仿宋" w:hAnsi="仿宋" w:eastAsia="仿宋" w:cs="仿宋"/>
          <w:b/>
          <w:color w:val="333333"/>
          <w:kern w:val="0"/>
          <w:sz w:val="30"/>
          <w:szCs w:val="30"/>
        </w:rPr>
        <w:t>可调剂专业</w:t>
      </w:r>
      <w:r>
        <w:rPr>
          <w:rFonts w:hint="eastAsia" w:ascii="仿宋" w:hAnsi="仿宋" w:eastAsia="仿宋" w:cs="仿宋"/>
          <w:b/>
          <w:color w:val="333333"/>
          <w:kern w:val="0"/>
          <w:sz w:val="30"/>
          <w:szCs w:val="30"/>
          <w:lang w:eastAsia="zh-CN"/>
        </w:rPr>
        <w:t>领域、研究</w:t>
      </w:r>
      <w:r>
        <w:rPr>
          <w:rFonts w:hint="eastAsia" w:ascii="仿宋" w:hAnsi="仿宋" w:eastAsia="仿宋" w:cs="仿宋"/>
          <w:b/>
          <w:color w:val="333333"/>
          <w:kern w:val="0"/>
          <w:sz w:val="30"/>
          <w:szCs w:val="30"/>
        </w:rPr>
        <w:t>方向</w:t>
      </w:r>
      <w:r>
        <w:rPr>
          <w:rFonts w:hint="eastAsia" w:ascii="仿宋" w:hAnsi="仿宋" w:eastAsia="仿宋" w:cs="仿宋"/>
          <w:b/>
          <w:color w:val="333333"/>
          <w:kern w:val="0"/>
          <w:sz w:val="30"/>
          <w:szCs w:val="30"/>
          <w:lang w:eastAsia="zh-CN"/>
        </w:rPr>
        <w:t>及缺额人数</w:t>
      </w:r>
    </w:p>
    <w:tbl>
      <w:tblPr>
        <w:tblStyle w:val="4"/>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138"/>
        <w:gridCol w:w="1290"/>
        <w:gridCol w:w="3055"/>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招生学院</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专业</w:t>
            </w:r>
            <w:r>
              <w:rPr>
                <w:rFonts w:hint="eastAsia" w:ascii="仿宋" w:hAnsi="仿宋" w:eastAsia="仿宋" w:cs="仿宋"/>
                <w:color w:val="333333"/>
                <w:kern w:val="0"/>
                <w:sz w:val="30"/>
                <w:szCs w:val="30"/>
                <w:lang w:eastAsia="zh-CN"/>
              </w:rPr>
              <w:t>领域</w:t>
            </w:r>
            <w:r>
              <w:rPr>
                <w:rFonts w:hint="eastAsia" w:ascii="仿宋" w:hAnsi="仿宋" w:eastAsia="仿宋" w:cs="仿宋"/>
                <w:color w:val="333333"/>
                <w:kern w:val="0"/>
                <w:sz w:val="30"/>
                <w:szCs w:val="30"/>
              </w:rPr>
              <w:t>代码</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专业</w:t>
            </w:r>
            <w:r>
              <w:rPr>
                <w:rFonts w:hint="eastAsia" w:ascii="仿宋" w:hAnsi="仿宋" w:eastAsia="仿宋" w:cs="仿宋"/>
                <w:color w:val="333333"/>
                <w:kern w:val="0"/>
                <w:sz w:val="30"/>
                <w:szCs w:val="30"/>
                <w:lang w:eastAsia="zh-CN"/>
              </w:rPr>
              <w:t>领域</w:t>
            </w:r>
            <w:r>
              <w:rPr>
                <w:rFonts w:hint="eastAsia" w:ascii="仿宋" w:hAnsi="仿宋" w:eastAsia="仿宋" w:cs="仿宋"/>
                <w:color w:val="333333"/>
                <w:kern w:val="0"/>
                <w:sz w:val="30"/>
                <w:szCs w:val="30"/>
              </w:rPr>
              <w:t>名称</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299" w:lineRule="atLeast"/>
              <w:jc w:val="center"/>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lang w:eastAsia="zh-CN"/>
              </w:rPr>
              <w:t>研究</w:t>
            </w:r>
            <w:r>
              <w:rPr>
                <w:rFonts w:hint="eastAsia" w:ascii="仿宋" w:hAnsi="仿宋" w:eastAsia="仿宋" w:cs="仿宋"/>
                <w:color w:val="333333"/>
                <w:kern w:val="0"/>
                <w:sz w:val="30"/>
                <w:szCs w:val="30"/>
              </w:rPr>
              <w:t>方向</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spacing w:line="299" w:lineRule="atLeast"/>
              <w:jc w:val="center"/>
              <w:rPr>
                <w:rFonts w:hint="eastAsia" w:ascii="仿宋" w:hAnsi="仿宋" w:eastAsia="仿宋" w:cs="仿宋"/>
                <w:color w:val="333333"/>
                <w:kern w:val="0"/>
                <w:sz w:val="30"/>
                <w:szCs w:val="30"/>
                <w:lang w:val="en-US" w:eastAsia="zh-CN"/>
              </w:rPr>
            </w:pPr>
            <w:r>
              <w:rPr>
                <w:rFonts w:hint="eastAsia" w:ascii="仿宋" w:hAnsi="仿宋" w:eastAsia="仿宋" w:cs="仿宋"/>
                <w:color w:val="333333"/>
                <w:kern w:val="0"/>
                <w:sz w:val="30"/>
                <w:szCs w:val="30"/>
                <w:lang w:val="en-US" w:eastAsia="zh-CN"/>
              </w:rPr>
              <w:t>缺额人数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vMerge w:val="restart"/>
            <w:tcBorders>
              <w:top w:val="single" w:color="auto" w:sz="4" w:space="0"/>
              <w:left w:val="single" w:color="auto" w:sz="4" w:space="0"/>
              <w:right w:val="single" w:color="auto" w:sz="4" w:space="0"/>
            </w:tcBorders>
            <w:noWrap w:val="0"/>
            <w:vAlign w:val="center"/>
          </w:tcPr>
          <w:p>
            <w:pPr>
              <w:widowControl/>
              <w:spacing w:line="299"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音乐与舞蹈学院</w:t>
            </w:r>
          </w:p>
        </w:tc>
        <w:tc>
          <w:tcPr>
            <w:tcW w:w="1138"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lang w:val="en-US" w:eastAsia="zh-CN"/>
              </w:rPr>
              <w:t>135101</w:t>
            </w:r>
          </w:p>
        </w:tc>
        <w:tc>
          <w:tcPr>
            <w:tcW w:w="1290"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color w:val="333333"/>
                <w:kern w:val="0"/>
                <w:sz w:val="30"/>
                <w:szCs w:val="30"/>
                <w:lang w:eastAsia="zh-CN"/>
              </w:rPr>
            </w:pPr>
            <w:r>
              <w:rPr>
                <w:rFonts w:hint="eastAsia" w:ascii="仿宋" w:hAnsi="仿宋" w:eastAsia="仿宋" w:cs="仿宋"/>
                <w:color w:val="333333"/>
                <w:kern w:val="0"/>
                <w:sz w:val="30"/>
                <w:szCs w:val="30"/>
                <w:lang w:eastAsia="zh-CN"/>
              </w:rPr>
              <w:t>音乐</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299" w:lineRule="atLeast"/>
              <w:jc w:val="center"/>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val="en-US" w:eastAsia="zh-CN"/>
              </w:rPr>
              <w:t>音乐教育</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30"/>
                <w:szCs w:val="30"/>
                <w:lang w:val="en-US" w:eastAsia="zh-CN"/>
              </w:rPr>
            </w:pPr>
            <w:r>
              <w:rPr>
                <w:rFonts w:hint="eastAsia" w:ascii="宋体" w:hAnsi="宋体" w:eastAsia="宋体" w:cs="宋体"/>
                <w:i w:val="0"/>
                <w:iCs w:val="0"/>
                <w:color w:val="000000"/>
                <w:kern w:val="0"/>
                <w:sz w:val="28"/>
                <w:szCs w:val="28"/>
                <w:u w:val="none"/>
                <w:lang w:val="en-US" w:eastAsia="zh-CN" w:bidi="ar"/>
              </w:rPr>
              <w:t>9</w:t>
            </w:r>
            <w:r>
              <w:rPr>
                <w:rFonts w:hint="eastAsia" w:ascii="仿宋" w:hAnsi="仿宋" w:eastAsia="仿宋" w:cs="仿宋"/>
                <w:kern w:val="0"/>
                <w:sz w:val="30"/>
                <w:szCs w:val="30"/>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vMerge w:val="continue"/>
            <w:tcBorders>
              <w:left w:val="single" w:color="auto" w:sz="4" w:space="0"/>
              <w:right w:val="single" w:color="auto" w:sz="4" w:space="0"/>
            </w:tcBorders>
            <w:noWrap w:val="0"/>
            <w:vAlign w:val="center"/>
          </w:tcPr>
          <w:p>
            <w:pPr>
              <w:widowControl/>
              <w:spacing w:line="299" w:lineRule="atLeast"/>
              <w:jc w:val="center"/>
              <w:rPr>
                <w:rFonts w:hint="eastAsia" w:ascii="仿宋" w:hAnsi="仿宋" w:eastAsia="仿宋" w:cs="仿宋"/>
                <w:kern w:val="0"/>
                <w:sz w:val="30"/>
                <w:szCs w:val="30"/>
              </w:rPr>
            </w:pPr>
          </w:p>
        </w:tc>
        <w:tc>
          <w:tcPr>
            <w:tcW w:w="1138" w:type="dxa"/>
            <w:vMerge w:val="continue"/>
            <w:tcBorders>
              <w:left w:val="single" w:color="auto" w:sz="4" w:space="0"/>
              <w:right w:val="single" w:color="auto" w:sz="4" w:space="0"/>
            </w:tcBorders>
            <w:noWrap w:val="0"/>
            <w:vAlign w:val="center"/>
          </w:tcPr>
          <w:p>
            <w:pPr>
              <w:jc w:val="center"/>
              <w:rPr>
                <w:rFonts w:hint="eastAsia" w:ascii="仿宋" w:hAnsi="仿宋" w:eastAsia="仿宋" w:cs="仿宋"/>
                <w:color w:val="333333"/>
                <w:kern w:val="0"/>
                <w:sz w:val="30"/>
                <w:szCs w:val="30"/>
                <w:lang w:val="en-US" w:eastAsia="zh-CN"/>
              </w:rPr>
            </w:pPr>
          </w:p>
        </w:tc>
        <w:tc>
          <w:tcPr>
            <w:tcW w:w="129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333333"/>
                <w:kern w:val="0"/>
                <w:sz w:val="30"/>
                <w:szCs w:val="30"/>
                <w:lang w:eastAsia="zh-CN"/>
              </w:rPr>
            </w:pP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299" w:lineRule="atLeast"/>
              <w:jc w:val="center"/>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val="en-US" w:eastAsia="zh-CN"/>
              </w:rPr>
              <w:t>钢琴</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30"/>
                <w:szCs w:val="30"/>
                <w:lang w:val="en-US" w:eastAsia="zh-CN"/>
              </w:rPr>
            </w:pPr>
            <w:r>
              <w:rPr>
                <w:rFonts w:hint="eastAsia" w:ascii="宋体" w:hAnsi="宋体" w:eastAsia="宋体" w:cs="宋体"/>
                <w:i w:val="0"/>
                <w:iCs w:val="0"/>
                <w:color w:val="000000"/>
                <w:kern w:val="0"/>
                <w:sz w:val="28"/>
                <w:szCs w:val="28"/>
                <w:u w:val="none"/>
                <w:lang w:val="en-US" w:eastAsia="zh-CN" w:bidi="ar"/>
              </w:rPr>
              <w:t>4</w:t>
            </w:r>
            <w:r>
              <w:rPr>
                <w:rFonts w:hint="eastAsia" w:ascii="仿宋" w:hAnsi="仿宋" w:eastAsia="仿宋" w:cs="仿宋"/>
                <w:kern w:val="0"/>
                <w:sz w:val="30"/>
                <w:szCs w:val="30"/>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vMerge w:val="continue"/>
            <w:tcBorders>
              <w:left w:val="single" w:color="auto" w:sz="4" w:space="0"/>
              <w:right w:val="single" w:color="auto" w:sz="4" w:space="0"/>
            </w:tcBorders>
            <w:noWrap w:val="0"/>
            <w:vAlign w:val="center"/>
          </w:tcPr>
          <w:p>
            <w:pPr>
              <w:widowControl/>
              <w:spacing w:line="299" w:lineRule="atLeast"/>
              <w:jc w:val="center"/>
              <w:rPr>
                <w:rFonts w:hint="eastAsia" w:ascii="仿宋" w:hAnsi="仿宋" w:eastAsia="仿宋" w:cs="仿宋"/>
                <w:kern w:val="0"/>
                <w:sz w:val="30"/>
                <w:szCs w:val="30"/>
              </w:rPr>
            </w:pPr>
          </w:p>
        </w:tc>
        <w:tc>
          <w:tcPr>
            <w:tcW w:w="1138" w:type="dxa"/>
            <w:vMerge w:val="continue"/>
            <w:tcBorders>
              <w:left w:val="single" w:color="auto" w:sz="4" w:space="0"/>
              <w:right w:val="single" w:color="auto" w:sz="4" w:space="0"/>
            </w:tcBorders>
            <w:noWrap w:val="0"/>
            <w:vAlign w:val="center"/>
          </w:tcPr>
          <w:p>
            <w:pPr>
              <w:jc w:val="center"/>
              <w:rPr>
                <w:rFonts w:hint="eastAsia" w:ascii="仿宋" w:hAnsi="仿宋" w:eastAsia="仿宋" w:cs="仿宋"/>
                <w:color w:val="333333"/>
                <w:kern w:val="0"/>
                <w:sz w:val="30"/>
                <w:szCs w:val="30"/>
                <w:lang w:val="en-US" w:eastAsia="zh-CN"/>
              </w:rPr>
            </w:pPr>
          </w:p>
        </w:tc>
        <w:tc>
          <w:tcPr>
            <w:tcW w:w="129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333333"/>
                <w:kern w:val="0"/>
                <w:sz w:val="30"/>
                <w:szCs w:val="30"/>
                <w:lang w:eastAsia="zh-CN"/>
              </w:rPr>
            </w:pP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299" w:lineRule="atLeast"/>
              <w:jc w:val="center"/>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val="en-US" w:eastAsia="zh-CN"/>
              </w:rPr>
              <w:t>中国器乐（二胡）</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30"/>
                <w:szCs w:val="30"/>
                <w:lang w:val="en-US" w:eastAsia="zh-CN"/>
              </w:rPr>
            </w:pPr>
            <w:r>
              <w:rPr>
                <w:rFonts w:hint="eastAsia" w:ascii="宋体" w:hAnsi="宋体" w:eastAsia="宋体" w:cs="宋体"/>
                <w:i w:val="0"/>
                <w:iCs w:val="0"/>
                <w:color w:val="000000"/>
                <w:kern w:val="0"/>
                <w:sz w:val="28"/>
                <w:szCs w:val="28"/>
                <w:u w:val="none"/>
                <w:lang w:val="en-US" w:eastAsia="zh-CN" w:bidi="ar"/>
              </w:rPr>
              <w:t>2</w:t>
            </w:r>
            <w:r>
              <w:rPr>
                <w:rFonts w:hint="eastAsia" w:ascii="仿宋" w:hAnsi="仿宋" w:eastAsia="仿宋" w:cs="仿宋"/>
                <w:kern w:val="0"/>
                <w:sz w:val="30"/>
                <w:szCs w:val="30"/>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vMerge w:val="continue"/>
            <w:tcBorders>
              <w:left w:val="single" w:color="auto" w:sz="4" w:space="0"/>
              <w:right w:val="single" w:color="auto" w:sz="4" w:space="0"/>
            </w:tcBorders>
            <w:noWrap w:val="0"/>
            <w:vAlign w:val="center"/>
          </w:tcPr>
          <w:p>
            <w:pPr>
              <w:widowControl/>
              <w:spacing w:line="299" w:lineRule="atLeast"/>
              <w:jc w:val="center"/>
              <w:rPr>
                <w:rFonts w:hint="eastAsia" w:ascii="仿宋" w:hAnsi="仿宋" w:eastAsia="仿宋" w:cs="仿宋"/>
                <w:kern w:val="0"/>
                <w:sz w:val="30"/>
                <w:szCs w:val="30"/>
              </w:rPr>
            </w:pPr>
          </w:p>
        </w:tc>
        <w:tc>
          <w:tcPr>
            <w:tcW w:w="1138" w:type="dxa"/>
            <w:vMerge w:val="continue"/>
            <w:tcBorders>
              <w:left w:val="single" w:color="auto" w:sz="4" w:space="0"/>
              <w:right w:val="single" w:color="auto" w:sz="4" w:space="0"/>
            </w:tcBorders>
            <w:noWrap w:val="0"/>
            <w:vAlign w:val="center"/>
          </w:tcPr>
          <w:p>
            <w:pPr>
              <w:jc w:val="center"/>
              <w:rPr>
                <w:rFonts w:hint="eastAsia" w:ascii="仿宋" w:hAnsi="仿宋" w:eastAsia="仿宋" w:cs="仿宋"/>
                <w:color w:val="333333"/>
                <w:kern w:val="0"/>
                <w:sz w:val="30"/>
                <w:szCs w:val="30"/>
                <w:lang w:val="en-US" w:eastAsia="zh-CN"/>
              </w:rPr>
            </w:pPr>
          </w:p>
        </w:tc>
        <w:tc>
          <w:tcPr>
            <w:tcW w:w="129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333333"/>
                <w:kern w:val="0"/>
                <w:sz w:val="30"/>
                <w:szCs w:val="30"/>
                <w:lang w:eastAsia="zh-CN"/>
              </w:rPr>
            </w:pP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299" w:lineRule="atLeast"/>
              <w:jc w:val="center"/>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val="en-US" w:eastAsia="zh-CN"/>
              </w:rPr>
              <w:t>合唱指挥</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30"/>
                <w:szCs w:val="30"/>
                <w:lang w:val="en-US" w:eastAsia="zh-CN"/>
              </w:rPr>
            </w:pPr>
            <w:r>
              <w:rPr>
                <w:rFonts w:hint="eastAsia" w:ascii="宋体" w:hAnsi="宋体" w:eastAsia="宋体" w:cs="宋体"/>
                <w:i w:val="0"/>
                <w:iCs w:val="0"/>
                <w:color w:val="000000"/>
                <w:kern w:val="0"/>
                <w:sz w:val="28"/>
                <w:szCs w:val="28"/>
                <w:u w:val="none"/>
                <w:lang w:val="en-US" w:eastAsia="zh-CN" w:bidi="ar"/>
              </w:rPr>
              <w:t>1</w:t>
            </w:r>
            <w:r>
              <w:rPr>
                <w:rFonts w:hint="eastAsia" w:ascii="仿宋" w:hAnsi="仿宋" w:eastAsia="仿宋" w:cs="仿宋"/>
                <w:kern w:val="0"/>
                <w:sz w:val="30"/>
                <w:szCs w:val="30"/>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vMerge w:val="continue"/>
            <w:tcBorders>
              <w:left w:val="single" w:color="auto" w:sz="4" w:space="0"/>
              <w:right w:val="single" w:color="auto" w:sz="4" w:space="0"/>
            </w:tcBorders>
            <w:noWrap w:val="0"/>
            <w:vAlign w:val="center"/>
          </w:tcPr>
          <w:p>
            <w:pPr>
              <w:widowControl/>
              <w:spacing w:line="299" w:lineRule="atLeast"/>
              <w:jc w:val="center"/>
              <w:rPr>
                <w:rFonts w:hint="eastAsia" w:ascii="仿宋" w:hAnsi="仿宋" w:eastAsia="仿宋" w:cs="仿宋"/>
                <w:kern w:val="0"/>
                <w:sz w:val="30"/>
                <w:szCs w:val="30"/>
              </w:rPr>
            </w:pPr>
          </w:p>
        </w:tc>
        <w:tc>
          <w:tcPr>
            <w:tcW w:w="1138" w:type="dxa"/>
            <w:vMerge w:val="continue"/>
            <w:tcBorders>
              <w:left w:val="single" w:color="auto" w:sz="4" w:space="0"/>
              <w:right w:val="single" w:color="auto" w:sz="4" w:space="0"/>
            </w:tcBorders>
            <w:noWrap w:val="0"/>
            <w:vAlign w:val="center"/>
          </w:tcPr>
          <w:p>
            <w:pPr>
              <w:jc w:val="center"/>
              <w:rPr>
                <w:rFonts w:hint="eastAsia" w:ascii="仿宋" w:hAnsi="仿宋" w:eastAsia="仿宋" w:cs="仿宋"/>
                <w:color w:val="333333"/>
                <w:kern w:val="0"/>
                <w:sz w:val="30"/>
                <w:szCs w:val="30"/>
                <w:lang w:val="en-US" w:eastAsia="zh-CN"/>
              </w:rPr>
            </w:pPr>
          </w:p>
        </w:tc>
        <w:tc>
          <w:tcPr>
            <w:tcW w:w="129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333333"/>
                <w:kern w:val="0"/>
                <w:sz w:val="30"/>
                <w:szCs w:val="30"/>
                <w:lang w:eastAsia="zh-CN"/>
              </w:rPr>
            </w:pP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299" w:lineRule="atLeast"/>
              <w:jc w:val="center"/>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val="en-US" w:eastAsia="zh-CN"/>
              </w:rPr>
              <w:t>西洋器乐（大提琴）</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30"/>
                <w:szCs w:val="30"/>
              </w:rPr>
            </w:pPr>
            <w:r>
              <w:rPr>
                <w:rFonts w:hint="eastAsia" w:ascii="宋体" w:hAnsi="宋体" w:eastAsia="宋体" w:cs="宋体"/>
                <w:i w:val="0"/>
                <w:iCs w:val="0"/>
                <w:color w:val="000000"/>
                <w:kern w:val="0"/>
                <w:sz w:val="28"/>
                <w:szCs w:val="28"/>
                <w:u w:val="none"/>
                <w:lang w:val="en-US" w:eastAsia="zh-CN" w:bidi="ar"/>
              </w:rPr>
              <w:t>1</w:t>
            </w:r>
            <w:r>
              <w:rPr>
                <w:rFonts w:hint="eastAsia" w:ascii="仿宋" w:hAnsi="仿宋" w:eastAsia="仿宋" w:cs="仿宋"/>
                <w:kern w:val="0"/>
                <w:sz w:val="30"/>
                <w:szCs w:val="30"/>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436" w:type="dxa"/>
            <w:vMerge w:val="continue"/>
            <w:tcBorders>
              <w:left w:val="single" w:color="auto" w:sz="4" w:space="0"/>
              <w:right w:val="single" w:color="auto" w:sz="4" w:space="0"/>
            </w:tcBorders>
            <w:noWrap w:val="0"/>
            <w:vAlign w:val="center"/>
          </w:tcPr>
          <w:p>
            <w:pPr>
              <w:widowControl/>
              <w:spacing w:line="299" w:lineRule="atLeast"/>
              <w:jc w:val="center"/>
              <w:rPr>
                <w:rFonts w:hint="eastAsia" w:ascii="仿宋" w:hAnsi="仿宋" w:eastAsia="仿宋" w:cs="仿宋"/>
                <w:kern w:val="0"/>
                <w:sz w:val="30"/>
                <w:szCs w:val="30"/>
              </w:rPr>
            </w:pPr>
          </w:p>
        </w:tc>
        <w:tc>
          <w:tcPr>
            <w:tcW w:w="1138" w:type="dxa"/>
            <w:vMerge w:val="continue"/>
            <w:tcBorders>
              <w:left w:val="single" w:color="auto" w:sz="4" w:space="0"/>
              <w:right w:val="single" w:color="auto" w:sz="4" w:space="0"/>
            </w:tcBorders>
            <w:noWrap w:val="0"/>
            <w:vAlign w:val="center"/>
          </w:tcPr>
          <w:p>
            <w:pPr>
              <w:jc w:val="center"/>
              <w:rPr>
                <w:rFonts w:hint="eastAsia" w:ascii="仿宋" w:hAnsi="仿宋" w:eastAsia="仿宋" w:cs="仿宋"/>
                <w:color w:val="333333"/>
                <w:kern w:val="0"/>
                <w:sz w:val="30"/>
                <w:szCs w:val="30"/>
                <w:lang w:val="en-US" w:eastAsia="zh-CN"/>
              </w:rPr>
            </w:pPr>
          </w:p>
        </w:tc>
        <w:tc>
          <w:tcPr>
            <w:tcW w:w="129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333333"/>
                <w:kern w:val="0"/>
                <w:sz w:val="30"/>
                <w:szCs w:val="30"/>
                <w:lang w:eastAsia="zh-CN"/>
              </w:rPr>
            </w:pP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299" w:lineRule="atLeast"/>
              <w:jc w:val="center"/>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val="en-US" w:eastAsia="zh-CN"/>
              </w:rPr>
              <w:t>中国器乐（琵琶）</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30"/>
                <w:szCs w:val="30"/>
              </w:rPr>
            </w:pPr>
            <w:r>
              <w:rPr>
                <w:rFonts w:hint="eastAsia" w:ascii="宋体" w:hAnsi="宋体" w:eastAsia="宋体" w:cs="宋体"/>
                <w:i w:val="0"/>
                <w:iCs w:val="0"/>
                <w:color w:val="000000"/>
                <w:kern w:val="0"/>
                <w:sz w:val="28"/>
                <w:szCs w:val="28"/>
                <w:u w:val="none"/>
                <w:lang w:val="en-US" w:eastAsia="zh-CN" w:bidi="ar"/>
              </w:rPr>
              <w:t>1</w:t>
            </w:r>
            <w:r>
              <w:rPr>
                <w:rFonts w:hint="eastAsia" w:ascii="仿宋" w:hAnsi="仿宋" w:eastAsia="仿宋" w:cs="仿宋"/>
                <w:kern w:val="0"/>
                <w:sz w:val="30"/>
                <w:szCs w:val="30"/>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36" w:type="dxa"/>
            <w:vMerge w:val="continue"/>
            <w:tcBorders>
              <w:left w:val="single" w:color="auto" w:sz="4" w:space="0"/>
              <w:right w:val="single" w:color="auto" w:sz="4" w:space="0"/>
            </w:tcBorders>
            <w:noWrap w:val="0"/>
            <w:vAlign w:val="center"/>
          </w:tcPr>
          <w:p>
            <w:pPr>
              <w:widowControl/>
              <w:spacing w:line="299" w:lineRule="atLeast"/>
              <w:jc w:val="center"/>
              <w:rPr>
                <w:rFonts w:hint="eastAsia" w:ascii="仿宋" w:hAnsi="仿宋" w:eastAsia="仿宋" w:cs="仿宋"/>
                <w:kern w:val="0"/>
                <w:sz w:val="30"/>
                <w:szCs w:val="30"/>
              </w:rPr>
            </w:pPr>
          </w:p>
        </w:tc>
        <w:tc>
          <w:tcPr>
            <w:tcW w:w="1138" w:type="dxa"/>
            <w:vMerge w:val="continue"/>
            <w:tcBorders>
              <w:left w:val="single" w:color="auto" w:sz="4" w:space="0"/>
              <w:right w:val="single" w:color="auto" w:sz="4" w:space="0"/>
            </w:tcBorders>
            <w:noWrap w:val="0"/>
            <w:vAlign w:val="center"/>
          </w:tcPr>
          <w:p>
            <w:pPr>
              <w:jc w:val="center"/>
              <w:rPr>
                <w:rFonts w:hint="eastAsia" w:ascii="仿宋" w:hAnsi="仿宋" w:eastAsia="仿宋" w:cs="仿宋"/>
                <w:color w:val="333333"/>
                <w:kern w:val="0"/>
                <w:sz w:val="30"/>
                <w:szCs w:val="30"/>
                <w:lang w:val="en-US" w:eastAsia="zh-CN"/>
              </w:rPr>
            </w:pPr>
          </w:p>
        </w:tc>
        <w:tc>
          <w:tcPr>
            <w:tcW w:w="129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333333"/>
                <w:kern w:val="0"/>
                <w:sz w:val="30"/>
                <w:szCs w:val="30"/>
                <w:lang w:eastAsia="zh-CN"/>
              </w:rPr>
            </w:pP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299" w:lineRule="atLeast"/>
              <w:jc w:val="center"/>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val="en-US" w:eastAsia="zh-CN"/>
              </w:rPr>
              <w:t>中国器乐（古筝）</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30"/>
                <w:szCs w:val="30"/>
                <w:lang w:val="en-US" w:eastAsia="zh-CN"/>
              </w:rPr>
            </w:pPr>
            <w:r>
              <w:rPr>
                <w:rFonts w:hint="eastAsia" w:ascii="宋体" w:hAnsi="宋体" w:eastAsia="宋体" w:cs="宋体"/>
                <w:i w:val="0"/>
                <w:iCs w:val="0"/>
                <w:color w:val="000000"/>
                <w:kern w:val="0"/>
                <w:sz w:val="28"/>
                <w:szCs w:val="28"/>
                <w:u w:val="none"/>
                <w:lang w:val="en-US" w:eastAsia="zh-CN" w:bidi="ar"/>
              </w:rPr>
              <w:t>2</w:t>
            </w:r>
            <w:r>
              <w:rPr>
                <w:rFonts w:hint="eastAsia" w:ascii="仿宋" w:hAnsi="仿宋" w:eastAsia="仿宋" w:cs="仿宋"/>
                <w:kern w:val="0"/>
                <w:sz w:val="30"/>
                <w:szCs w:val="30"/>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vMerge w:val="continue"/>
            <w:tcBorders>
              <w:left w:val="single" w:color="auto" w:sz="4" w:space="0"/>
              <w:right w:val="single" w:color="auto" w:sz="4" w:space="0"/>
            </w:tcBorders>
            <w:noWrap w:val="0"/>
            <w:vAlign w:val="center"/>
          </w:tcPr>
          <w:p>
            <w:pPr>
              <w:widowControl/>
              <w:spacing w:line="299" w:lineRule="atLeast"/>
              <w:jc w:val="center"/>
              <w:rPr>
                <w:rFonts w:hint="eastAsia" w:ascii="仿宋" w:hAnsi="仿宋" w:eastAsia="仿宋" w:cs="仿宋"/>
                <w:kern w:val="0"/>
                <w:sz w:val="30"/>
                <w:szCs w:val="30"/>
              </w:rPr>
            </w:pPr>
          </w:p>
        </w:tc>
        <w:tc>
          <w:tcPr>
            <w:tcW w:w="1138" w:type="dxa"/>
            <w:vMerge w:val="continue"/>
            <w:tcBorders>
              <w:left w:val="single" w:color="auto" w:sz="4" w:space="0"/>
              <w:right w:val="single" w:color="auto" w:sz="4" w:space="0"/>
            </w:tcBorders>
            <w:noWrap w:val="0"/>
            <w:vAlign w:val="center"/>
          </w:tcPr>
          <w:p>
            <w:pPr>
              <w:jc w:val="center"/>
              <w:rPr>
                <w:rFonts w:hint="eastAsia" w:ascii="仿宋" w:hAnsi="仿宋" w:eastAsia="仿宋" w:cs="仿宋"/>
                <w:color w:val="333333"/>
                <w:kern w:val="0"/>
                <w:sz w:val="30"/>
                <w:szCs w:val="30"/>
                <w:lang w:val="en-US" w:eastAsia="zh-CN"/>
              </w:rPr>
            </w:pPr>
          </w:p>
        </w:tc>
        <w:tc>
          <w:tcPr>
            <w:tcW w:w="129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333333"/>
                <w:kern w:val="0"/>
                <w:sz w:val="30"/>
                <w:szCs w:val="30"/>
                <w:lang w:eastAsia="zh-CN"/>
              </w:rPr>
            </w:pP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299" w:lineRule="atLeast"/>
              <w:jc w:val="center"/>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val="en-US" w:eastAsia="zh-CN"/>
              </w:rPr>
              <w:t>声乐</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 w:val="30"/>
                <w:szCs w:val="30"/>
                <w:lang w:val="en-US" w:eastAsia="zh-CN"/>
              </w:rPr>
            </w:pPr>
            <w:r>
              <w:rPr>
                <w:rFonts w:hint="eastAsia" w:ascii="宋体" w:hAnsi="宋体" w:eastAsia="宋体" w:cs="宋体"/>
                <w:i w:val="0"/>
                <w:iCs w:val="0"/>
                <w:color w:val="000000"/>
                <w:kern w:val="0"/>
                <w:sz w:val="28"/>
                <w:szCs w:val="28"/>
                <w:u w:val="none"/>
                <w:lang w:val="en-US" w:eastAsia="zh-CN" w:bidi="ar"/>
              </w:rPr>
              <w:t>1</w:t>
            </w:r>
            <w:r>
              <w:rPr>
                <w:rFonts w:hint="eastAsia" w:ascii="仿宋" w:hAnsi="仿宋" w:eastAsia="仿宋" w:cs="仿宋"/>
                <w:kern w:val="0"/>
                <w:sz w:val="30"/>
                <w:szCs w:val="30"/>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333333"/>
                <w:kern w:val="0"/>
                <w:sz w:val="30"/>
                <w:szCs w:val="30"/>
              </w:rPr>
            </w:pPr>
          </w:p>
        </w:tc>
        <w:tc>
          <w:tcPr>
            <w:tcW w:w="1138" w:type="dxa"/>
            <w:vMerge w:val="continue"/>
            <w:tcBorders>
              <w:left w:val="single" w:color="auto" w:sz="4" w:space="0"/>
              <w:right w:val="single" w:color="auto" w:sz="4" w:space="0"/>
            </w:tcBorders>
            <w:noWrap w:val="0"/>
            <w:vAlign w:val="center"/>
          </w:tcPr>
          <w:p>
            <w:pPr>
              <w:jc w:val="center"/>
              <w:rPr>
                <w:rFonts w:hint="eastAsia" w:ascii="仿宋" w:hAnsi="仿宋" w:eastAsia="仿宋" w:cs="仿宋"/>
                <w:color w:val="333333"/>
                <w:kern w:val="0"/>
                <w:sz w:val="30"/>
                <w:szCs w:val="30"/>
              </w:rPr>
            </w:pPr>
          </w:p>
        </w:tc>
        <w:tc>
          <w:tcPr>
            <w:tcW w:w="129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333333"/>
                <w:kern w:val="0"/>
                <w:sz w:val="30"/>
                <w:szCs w:val="30"/>
              </w:rPr>
            </w:pP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299" w:lineRule="atLeast"/>
              <w:jc w:val="center"/>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文化产业与南音文化推广</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kern w:val="0"/>
                <w:sz w:val="30"/>
                <w:szCs w:val="30"/>
              </w:rPr>
            </w:pPr>
            <w:r>
              <w:rPr>
                <w:rFonts w:hint="eastAsia" w:ascii="宋体" w:hAnsi="宋体" w:eastAsia="宋体" w:cs="宋体"/>
                <w:i w:val="0"/>
                <w:iCs w:val="0"/>
                <w:color w:val="000000"/>
                <w:kern w:val="0"/>
                <w:sz w:val="28"/>
                <w:szCs w:val="28"/>
                <w:u w:val="none"/>
                <w:lang w:val="en-US" w:eastAsia="zh-CN" w:bidi="ar"/>
              </w:rPr>
              <w:t>2</w:t>
            </w:r>
            <w:r>
              <w:rPr>
                <w:rFonts w:hint="eastAsia" w:ascii="仿宋" w:hAnsi="仿宋" w:eastAsia="仿宋" w:cs="仿宋"/>
                <w:kern w:val="0"/>
                <w:sz w:val="30"/>
                <w:szCs w:val="30"/>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6"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333333"/>
                <w:kern w:val="0"/>
                <w:sz w:val="30"/>
                <w:szCs w:val="30"/>
              </w:rPr>
            </w:pPr>
          </w:p>
        </w:tc>
        <w:tc>
          <w:tcPr>
            <w:tcW w:w="1138" w:type="dxa"/>
            <w:vMerge w:val="restart"/>
            <w:tcBorders>
              <w:left w:val="single" w:color="auto" w:sz="4" w:space="0"/>
              <w:right w:val="single" w:color="auto" w:sz="4" w:space="0"/>
            </w:tcBorders>
            <w:noWrap w:val="0"/>
            <w:vAlign w:val="center"/>
          </w:tcPr>
          <w:p>
            <w:pPr>
              <w:widowControl/>
              <w:spacing w:line="299" w:lineRule="atLeast"/>
              <w:jc w:val="center"/>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1351</w:t>
            </w:r>
            <w:r>
              <w:rPr>
                <w:rFonts w:hint="eastAsia" w:ascii="仿宋" w:hAnsi="仿宋" w:eastAsia="仿宋" w:cs="仿宋"/>
                <w:color w:val="333333"/>
                <w:kern w:val="0"/>
                <w:sz w:val="30"/>
                <w:szCs w:val="30"/>
                <w:lang w:val="en-US" w:eastAsia="zh-CN"/>
              </w:rPr>
              <w:t>06</w:t>
            </w:r>
          </w:p>
        </w:tc>
        <w:tc>
          <w:tcPr>
            <w:tcW w:w="1290" w:type="dxa"/>
            <w:vMerge w:val="restart"/>
            <w:tcBorders>
              <w:left w:val="single" w:color="auto" w:sz="4" w:space="0"/>
              <w:right w:val="single" w:color="auto" w:sz="4" w:space="0"/>
            </w:tcBorders>
            <w:noWrap w:val="0"/>
            <w:vAlign w:val="center"/>
          </w:tcPr>
          <w:p>
            <w:pPr>
              <w:widowControl/>
              <w:spacing w:line="299" w:lineRule="atLeast"/>
              <w:jc w:val="center"/>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lang w:eastAsia="zh-CN"/>
              </w:rPr>
              <w:t>舞蹈</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299"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舞蹈编导</w:t>
            </w:r>
          </w:p>
        </w:tc>
        <w:tc>
          <w:tcPr>
            <w:tcW w:w="1602" w:type="dxa"/>
            <w:vMerge w:val="restart"/>
            <w:tcBorders>
              <w:top w:val="single" w:color="auto" w:sz="4" w:space="0"/>
              <w:left w:val="single" w:color="auto" w:sz="4" w:space="0"/>
              <w:right w:val="single" w:color="auto" w:sz="4" w:space="0"/>
            </w:tcBorders>
            <w:noWrap w:val="0"/>
            <w:vAlign w:val="center"/>
          </w:tcPr>
          <w:p>
            <w:pPr>
              <w:widowControl/>
              <w:spacing w:line="299" w:lineRule="atLeast"/>
              <w:jc w:val="center"/>
              <w:rPr>
                <w:rFonts w:hint="default"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436"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333333"/>
                <w:kern w:val="0"/>
                <w:sz w:val="30"/>
                <w:szCs w:val="30"/>
              </w:rPr>
            </w:pPr>
          </w:p>
        </w:tc>
        <w:tc>
          <w:tcPr>
            <w:tcW w:w="1138" w:type="dxa"/>
            <w:vMerge w:val="continue"/>
            <w:tcBorders>
              <w:left w:val="single" w:color="auto" w:sz="4" w:space="0"/>
              <w:right w:val="single" w:color="auto" w:sz="4" w:space="0"/>
            </w:tcBorders>
            <w:noWrap w:val="0"/>
            <w:vAlign w:val="center"/>
          </w:tcPr>
          <w:p>
            <w:pPr>
              <w:jc w:val="center"/>
              <w:rPr>
                <w:rFonts w:hint="eastAsia" w:ascii="仿宋" w:hAnsi="仿宋" w:eastAsia="仿宋" w:cs="仿宋"/>
                <w:color w:val="333333"/>
                <w:kern w:val="0"/>
                <w:sz w:val="30"/>
                <w:szCs w:val="30"/>
              </w:rPr>
            </w:pPr>
          </w:p>
        </w:tc>
        <w:tc>
          <w:tcPr>
            <w:tcW w:w="129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333333"/>
                <w:kern w:val="0"/>
                <w:sz w:val="30"/>
                <w:szCs w:val="30"/>
              </w:rPr>
            </w:pPr>
          </w:p>
        </w:tc>
        <w:tc>
          <w:tcPr>
            <w:tcW w:w="3055" w:type="dxa"/>
            <w:tcBorders>
              <w:top w:val="single" w:color="auto" w:sz="4" w:space="0"/>
              <w:left w:val="single" w:color="auto" w:sz="4" w:space="0"/>
              <w:bottom w:val="single" w:color="auto" w:sz="4" w:space="0"/>
              <w:right w:val="single" w:color="auto" w:sz="4" w:space="0"/>
            </w:tcBorders>
            <w:noWrap w:val="0"/>
            <w:vAlign w:val="center"/>
          </w:tcPr>
          <w:p>
            <w:pPr>
              <w:widowControl/>
              <w:spacing w:line="299"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舞蹈教育</w:t>
            </w:r>
          </w:p>
        </w:tc>
        <w:tc>
          <w:tcPr>
            <w:tcW w:w="1602" w:type="dxa"/>
            <w:vMerge w:val="continue"/>
            <w:tcBorders>
              <w:left w:val="single" w:color="auto" w:sz="4" w:space="0"/>
              <w:bottom w:val="single" w:color="auto" w:sz="4" w:space="0"/>
              <w:right w:val="single" w:color="auto" w:sz="4" w:space="0"/>
            </w:tcBorders>
            <w:noWrap w:val="0"/>
            <w:vAlign w:val="center"/>
          </w:tcPr>
          <w:p>
            <w:pPr>
              <w:widowControl/>
              <w:spacing w:line="299" w:lineRule="atLeast"/>
              <w:jc w:val="center"/>
              <w:rPr>
                <w:rFonts w:hint="eastAsia" w:ascii="仿宋" w:hAnsi="仿宋" w:eastAsia="仿宋" w:cs="仿宋"/>
                <w:kern w:val="0"/>
                <w:sz w:val="30"/>
                <w:szCs w:val="30"/>
              </w:rPr>
            </w:pPr>
          </w:p>
        </w:tc>
      </w:tr>
    </w:tbl>
    <w:p>
      <w:pPr>
        <w:keepNext w:val="0"/>
        <w:keepLines w:val="0"/>
        <w:pageBreakBefore w:val="0"/>
        <w:widowControl/>
        <w:numPr>
          <w:ilvl w:val="0"/>
          <w:numId w:val="0"/>
        </w:numPr>
        <w:shd w:val="clear" w:color="auto" w:fill="FFFFFF"/>
        <w:kinsoku/>
        <w:wordWrap/>
        <w:overflowPunct/>
        <w:topLinePunct w:val="0"/>
        <w:bidi w:val="0"/>
        <w:spacing w:line="500" w:lineRule="exact"/>
        <w:jc w:val="left"/>
        <w:rPr>
          <w:rFonts w:hint="eastAsia" w:ascii="仿宋" w:hAnsi="仿宋" w:eastAsia="仿宋" w:cs="仿宋"/>
          <w:b/>
          <w:color w:val="333333"/>
          <w:kern w:val="0"/>
          <w:sz w:val="30"/>
          <w:szCs w:val="30"/>
          <w:lang w:val="en-US" w:eastAsia="zh-CN"/>
        </w:rPr>
      </w:pPr>
      <w:bookmarkStart w:id="1" w:name="_GoBack"/>
      <w:bookmarkEnd w:id="1"/>
    </w:p>
    <w:p>
      <w:pPr>
        <w:keepNext w:val="0"/>
        <w:keepLines w:val="0"/>
        <w:pageBreakBefore w:val="0"/>
        <w:widowControl/>
        <w:numPr>
          <w:ilvl w:val="0"/>
          <w:numId w:val="0"/>
        </w:numPr>
        <w:suppressLineNumbers w:val="0"/>
        <w:kinsoku/>
        <w:wordWrap/>
        <w:overflowPunct/>
        <w:topLinePunct w:val="0"/>
        <w:bidi w:val="0"/>
        <w:spacing w:before="0" w:beforeAutospacing="0" w:after="0" w:afterAutospacing="0" w:line="500" w:lineRule="exact"/>
        <w:ind w:right="0"/>
        <w:jc w:val="left"/>
        <w:rPr>
          <w:rFonts w:hint="eastAsia" w:ascii="宋体" w:hAnsi="宋体" w:eastAsia="宋体" w:cs="宋体"/>
        </w:rPr>
      </w:pPr>
      <w:r>
        <w:rPr>
          <w:rFonts w:hint="eastAsia" w:ascii="仿宋" w:hAnsi="仿宋" w:eastAsia="仿宋" w:cs="仿宋"/>
          <w:b/>
          <w:color w:val="333333"/>
          <w:kern w:val="0"/>
          <w:sz w:val="30"/>
          <w:szCs w:val="30"/>
          <w:lang w:eastAsia="zh-CN"/>
        </w:rPr>
        <w:t>二、</w:t>
      </w:r>
      <w:r>
        <w:rPr>
          <w:rFonts w:hint="eastAsia" w:ascii="仿宋" w:hAnsi="仿宋" w:eastAsia="仿宋" w:cs="仿宋"/>
          <w:b/>
          <w:kern w:val="2"/>
          <w:sz w:val="30"/>
          <w:szCs w:val="30"/>
          <w:shd w:val="clear" w:fill="FFFFFF"/>
          <w:lang w:val="en-US" w:eastAsia="zh-CN" w:bidi="ar"/>
        </w:rPr>
        <w:t>调剂系统开启、关闭时间</w:t>
      </w:r>
    </w:p>
    <w:p>
      <w:pPr>
        <w:keepNext w:val="0"/>
        <w:keepLines w:val="0"/>
        <w:pageBreakBefore w:val="0"/>
        <w:widowControl/>
        <w:suppressLineNumbers w:val="0"/>
        <w:kinsoku/>
        <w:wordWrap/>
        <w:overflowPunct/>
        <w:topLinePunct w:val="0"/>
        <w:bidi w:val="0"/>
        <w:spacing w:before="0" w:beforeAutospacing="0" w:after="0" w:afterAutospacing="0" w:line="500" w:lineRule="exact"/>
        <w:ind w:left="684" w:leftChars="0" w:right="0"/>
        <w:jc w:val="left"/>
        <w:rPr>
          <w:rFonts w:hint="default" w:ascii="宋体" w:hAnsi="宋体" w:eastAsia="宋体" w:cs="宋体"/>
          <w:lang w:val="en-US"/>
        </w:rPr>
      </w:pPr>
      <w:r>
        <w:rPr>
          <w:rFonts w:hint="eastAsia" w:ascii="仿宋" w:hAnsi="仿宋" w:eastAsia="仿宋" w:cs="仿宋"/>
          <w:kern w:val="2"/>
          <w:sz w:val="30"/>
          <w:szCs w:val="30"/>
          <w:shd w:val="clear" w:fill="FFFFFF"/>
          <w:lang w:val="en-US" w:eastAsia="zh-CN" w:bidi="ar"/>
        </w:rPr>
        <w:t>1、开启时间：2021年4月5日8：30</w:t>
      </w:r>
    </w:p>
    <w:p>
      <w:pPr>
        <w:keepNext w:val="0"/>
        <w:keepLines w:val="0"/>
        <w:pageBreakBefore w:val="0"/>
        <w:widowControl/>
        <w:suppressLineNumbers w:val="0"/>
        <w:kinsoku/>
        <w:wordWrap/>
        <w:overflowPunct/>
        <w:topLinePunct w:val="0"/>
        <w:bidi w:val="0"/>
        <w:spacing w:before="0" w:beforeAutospacing="0" w:after="0" w:afterAutospacing="0" w:line="500" w:lineRule="exact"/>
        <w:ind w:left="684" w:leftChars="0" w:right="0"/>
        <w:jc w:val="left"/>
        <w:rPr>
          <w:rFonts w:hint="eastAsia" w:ascii="宋体" w:hAnsi="宋体" w:eastAsia="宋体" w:cs="宋体"/>
        </w:rPr>
      </w:pPr>
      <w:r>
        <w:rPr>
          <w:rFonts w:hint="eastAsia" w:ascii="仿宋" w:hAnsi="仿宋" w:eastAsia="仿宋" w:cs="仿宋"/>
          <w:kern w:val="2"/>
          <w:sz w:val="30"/>
          <w:szCs w:val="30"/>
          <w:shd w:val="clear" w:fill="FFFFFF"/>
          <w:lang w:val="en-US" w:eastAsia="zh-CN" w:bidi="ar"/>
        </w:rPr>
        <w:t>2、关闭时间：2021年4月6日8：30</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b/>
          <w:color w:val="333333"/>
          <w:kern w:val="0"/>
          <w:sz w:val="30"/>
          <w:szCs w:val="30"/>
        </w:rPr>
      </w:pPr>
      <w:r>
        <w:rPr>
          <w:rFonts w:hint="eastAsia" w:ascii="仿宋" w:hAnsi="仿宋" w:eastAsia="仿宋" w:cs="仿宋"/>
          <w:b/>
          <w:color w:val="333333"/>
          <w:kern w:val="0"/>
          <w:sz w:val="30"/>
          <w:szCs w:val="30"/>
          <w:lang w:eastAsia="zh-CN"/>
        </w:rPr>
        <w:t>三、</w:t>
      </w:r>
      <w:r>
        <w:rPr>
          <w:rFonts w:hint="eastAsia" w:ascii="仿宋" w:hAnsi="仿宋" w:eastAsia="仿宋" w:cs="仿宋"/>
          <w:b/>
          <w:color w:val="333333"/>
          <w:kern w:val="0"/>
          <w:sz w:val="30"/>
          <w:szCs w:val="30"/>
        </w:rPr>
        <w:t>调剂基本要求</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（一）调剂基本条件：</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1.符合调入专业领域的报考条件；</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2.初试成绩符合全国A类考生初试成绩基本要求；</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3.调入专业与第一志愿报考专业相同或相近，在同一个学科门类或专业学位类别</w:t>
      </w:r>
      <w:r>
        <w:rPr>
          <w:rFonts w:hint="eastAsia" w:ascii="仿宋" w:hAnsi="仿宋" w:eastAsia="仿宋" w:cs="仿宋"/>
          <w:sz w:val="30"/>
          <w:szCs w:val="30"/>
          <w:lang w:eastAsia="zh-CN"/>
        </w:rPr>
        <w:t>范围内</w:t>
      </w:r>
      <w:r>
        <w:rPr>
          <w:rFonts w:hint="eastAsia" w:ascii="仿宋" w:hAnsi="仿宋" w:eastAsia="仿宋" w:cs="仿宋"/>
          <w:sz w:val="30"/>
          <w:szCs w:val="30"/>
        </w:rPr>
        <w:t>；</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4.初试科目与调入专业初试科目相同或相近，其中</w:t>
      </w:r>
      <w:r>
        <w:rPr>
          <w:rFonts w:hint="eastAsia" w:ascii="仿宋" w:hAnsi="仿宋" w:eastAsia="仿宋" w:cs="仿宋"/>
          <w:sz w:val="30"/>
          <w:szCs w:val="30"/>
          <w:lang w:val="en-US" w:eastAsia="zh-CN"/>
        </w:rPr>
        <w:t>初试全国统一命题科目应与调入专业全国统一命题科目相同</w:t>
      </w:r>
      <w:r>
        <w:rPr>
          <w:rFonts w:hint="eastAsia" w:ascii="仿宋" w:hAnsi="仿宋" w:eastAsia="仿宋" w:cs="仿宋"/>
          <w:sz w:val="30"/>
          <w:szCs w:val="30"/>
        </w:rPr>
        <w:t>；</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5.调剂</w:t>
      </w:r>
      <w:r>
        <w:rPr>
          <w:rFonts w:hint="eastAsia" w:ascii="仿宋" w:hAnsi="仿宋" w:eastAsia="仿宋" w:cs="仿宋"/>
          <w:sz w:val="30"/>
          <w:szCs w:val="30"/>
          <w:lang w:eastAsia="zh-CN"/>
        </w:rPr>
        <w:t>考</w:t>
      </w:r>
      <w:r>
        <w:rPr>
          <w:rFonts w:hint="eastAsia" w:ascii="仿宋" w:hAnsi="仿宋" w:eastAsia="仿宋" w:cs="仿宋"/>
          <w:sz w:val="30"/>
          <w:szCs w:val="30"/>
        </w:rPr>
        <w:t>生与第一志愿报考我校的考生持同一标准进行复试。</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（二）调剂要求</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学院接收所有调剂考生（既包括接收外单位调剂考生，也包括接收本单位内部调剂考生）必须通过教育部指定的“全国硕士生招生调剂服务系统”进行。未通过该系统录取的调剂考生一律无效。学院通过“全国硕士生招生调剂服务系统”及时公布生源缺额信息及调剂要求，积极利用该系统为考生调剂提供服务。</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3.学院可根据需要，开展一次或若干次调剂复试工作。每次开放调剂系统持续时间不低于12个小时。</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4.报考的调剂生调剂志愿锁定时间为24个小时，锁定时间到达后，锁定解除。</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w:t>
      </w:r>
      <w:r>
        <w:rPr>
          <w:rFonts w:hint="eastAsia" w:ascii="仿宋" w:hAnsi="仿宋" w:eastAsia="仿宋" w:cs="仿宋"/>
          <w:sz w:val="30"/>
          <w:szCs w:val="30"/>
          <w:lang w:val="en-US" w:eastAsia="zh-CN"/>
        </w:rPr>
        <w:t>不得简单以考生提交调剂志愿锁定时间先后顺序、单位、行业、地域、学校层次类别等非学业水平标准作为遴选确定复试考生名单的依据。</w:t>
      </w:r>
      <w:r>
        <w:rPr>
          <w:rFonts w:hint="eastAsia" w:ascii="仿宋" w:hAnsi="仿宋" w:eastAsia="仿宋" w:cs="仿宋"/>
          <w:sz w:val="30"/>
          <w:szCs w:val="30"/>
        </w:rPr>
        <w:t>对申请</w:t>
      </w:r>
      <w:r>
        <w:rPr>
          <w:rFonts w:hint="eastAsia" w:ascii="仿宋" w:hAnsi="仿宋" w:eastAsia="仿宋" w:cs="仿宋"/>
          <w:sz w:val="30"/>
          <w:szCs w:val="30"/>
          <w:lang w:eastAsia="zh-CN"/>
        </w:rPr>
        <w:t>同一学院</w:t>
      </w:r>
      <w:r>
        <w:rPr>
          <w:rFonts w:hint="eastAsia" w:ascii="仿宋" w:hAnsi="仿宋" w:eastAsia="仿宋" w:cs="仿宋"/>
          <w:sz w:val="30"/>
          <w:szCs w:val="30"/>
        </w:rPr>
        <w:t>同一专业、初试科目完全相同</w:t>
      </w:r>
      <w:r>
        <w:rPr>
          <w:rFonts w:hint="eastAsia" w:ascii="仿宋" w:hAnsi="仿宋" w:eastAsia="仿宋" w:cs="仿宋"/>
          <w:sz w:val="30"/>
          <w:szCs w:val="30"/>
          <w:lang w:eastAsia="zh-CN"/>
        </w:rPr>
        <w:t>的调剂考生</w:t>
      </w:r>
      <w:r>
        <w:rPr>
          <w:rFonts w:hint="eastAsia" w:ascii="仿宋" w:hAnsi="仿宋" w:eastAsia="仿宋" w:cs="仿宋"/>
          <w:sz w:val="30"/>
          <w:szCs w:val="30"/>
        </w:rPr>
        <w:t>，应当按考生初试成绩择优遴选进入复试的考生名单。学院研究生复试录取工作领导小组按照制定的调剂复试考生遴选方案，确定考生名单，并报学校研究生复试录取工作领导小组审核通过。</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eastAsia" w:ascii="仿宋_GB2312" w:hAnsi="宋体" w:eastAsia="仿宋_GB2312" w:cs="Tahoma"/>
          <w:color w:val="000000"/>
          <w:kern w:val="0"/>
          <w:sz w:val="30"/>
          <w:szCs w:val="30"/>
          <w:lang w:val="en-US" w:eastAsia="zh-CN"/>
        </w:rPr>
      </w:pPr>
      <w:r>
        <w:rPr>
          <w:rFonts w:hint="eastAsia" w:ascii="仿宋_GB2312" w:hAnsi="宋体" w:eastAsia="仿宋_GB2312" w:cs="Tahoma"/>
          <w:color w:val="000000"/>
          <w:kern w:val="0"/>
          <w:sz w:val="30"/>
          <w:szCs w:val="30"/>
          <w:lang w:val="en-US" w:eastAsia="zh-CN"/>
        </w:rPr>
        <w:t>6、</w:t>
      </w:r>
      <w:r>
        <w:rPr>
          <w:rFonts w:hint="eastAsia" w:ascii="仿宋_GB2312" w:hAnsi="宋体" w:eastAsia="仿宋_GB2312" w:cs="Tahoma"/>
          <w:color w:val="000000"/>
          <w:kern w:val="0"/>
          <w:sz w:val="30"/>
          <w:szCs w:val="30"/>
        </w:rPr>
        <w:t>其他未说明的事项，以教育部的最新文件为准。</w:t>
      </w:r>
    </w:p>
    <w:p>
      <w:pPr>
        <w:keepNext w:val="0"/>
        <w:keepLines w:val="0"/>
        <w:pageBreakBefore w:val="0"/>
        <w:widowControl/>
        <w:shd w:val="clear" w:color="auto" w:fill="FFFFFF"/>
        <w:kinsoku/>
        <w:wordWrap/>
        <w:overflowPunct/>
        <w:topLinePunct w:val="0"/>
        <w:bidi w:val="0"/>
        <w:spacing w:line="500" w:lineRule="exact"/>
        <w:ind w:right="0" w:rightChars="0" w:firstLine="602" w:firstLineChars="200"/>
        <w:jc w:val="left"/>
        <w:textAlignment w:val="auto"/>
        <w:outlineLvl w:val="9"/>
        <w:rPr>
          <w:rFonts w:hint="eastAsia" w:ascii="仿宋" w:hAnsi="仿宋" w:eastAsia="仿宋" w:cs="仿宋"/>
          <w:b/>
          <w:color w:val="333333"/>
          <w:kern w:val="0"/>
          <w:sz w:val="30"/>
          <w:szCs w:val="30"/>
        </w:rPr>
      </w:pPr>
      <w:r>
        <w:rPr>
          <w:rFonts w:hint="eastAsia" w:ascii="仿宋" w:hAnsi="仿宋" w:eastAsia="仿宋" w:cs="仿宋"/>
          <w:b/>
          <w:color w:val="333333"/>
          <w:kern w:val="0"/>
          <w:sz w:val="30"/>
          <w:szCs w:val="30"/>
          <w:lang w:eastAsia="zh-CN"/>
        </w:rPr>
        <w:t>四</w:t>
      </w:r>
      <w:r>
        <w:rPr>
          <w:rFonts w:hint="eastAsia" w:ascii="仿宋" w:hAnsi="仿宋" w:eastAsia="仿宋" w:cs="仿宋"/>
          <w:b/>
          <w:color w:val="333333"/>
          <w:kern w:val="0"/>
          <w:sz w:val="30"/>
          <w:szCs w:val="30"/>
        </w:rPr>
        <w:t>、调剂流程</w:t>
      </w:r>
    </w:p>
    <w:p>
      <w:pPr>
        <w:keepNext w:val="0"/>
        <w:keepLines w:val="0"/>
        <w:pageBreakBefore w:val="0"/>
        <w:kinsoku/>
        <w:wordWrap/>
        <w:overflowPunct/>
        <w:topLinePunct w:val="0"/>
        <w:bidi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学院在调剂系统发布生源缺额信息及调剂要求；</w:t>
      </w:r>
    </w:p>
    <w:p>
      <w:pPr>
        <w:keepNext w:val="0"/>
        <w:keepLines w:val="0"/>
        <w:pageBreakBefore w:val="0"/>
        <w:kinsoku/>
        <w:wordWrap/>
        <w:overflowPunct/>
        <w:topLinePunct w:val="0"/>
        <w:bidi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符合调剂要求的考生在</w:t>
      </w:r>
      <w:r>
        <w:rPr>
          <w:rFonts w:hint="eastAsia" w:ascii="仿宋" w:hAnsi="仿宋" w:eastAsia="仿宋" w:cs="仿宋"/>
          <w:sz w:val="30"/>
          <w:szCs w:val="30"/>
          <w:lang w:eastAsia="zh-CN"/>
        </w:rPr>
        <w:t>中国研究生招生信息网</w:t>
      </w:r>
      <w:r>
        <w:rPr>
          <w:rFonts w:hint="eastAsia" w:ascii="仿宋" w:hAnsi="仿宋" w:eastAsia="仿宋" w:cs="仿宋"/>
          <w:sz w:val="30"/>
          <w:szCs w:val="30"/>
        </w:rPr>
        <w:t>调剂系统上填报调剂申请；</w:t>
      </w:r>
    </w:p>
    <w:p>
      <w:pPr>
        <w:keepNext w:val="0"/>
        <w:keepLines w:val="0"/>
        <w:pageBreakBefore w:val="0"/>
        <w:kinsoku/>
        <w:wordWrap/>
        <w:overflowPunct/>
        <w:topLinePunct w:val="0"/>
        <w:bidi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学院对符合调剂要求的考生发送复试通知并通知考生网上确认；</w:t>
      </w:r>
    </w:p>
    <w:p>
      <w:pPr>
        <w:keepNext w:val="0"/>
        <w:keepLines w:val="0"/>
        <w:pageBreakBefore w:val="0"/>
        <w:kinsoku/>
        <w:wordWrap/>
        <w:overflowPunct/>
        <w:topLinePunct w:val="0"/>
        <w:bidi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学院组织调剂考生网络远程复试；</w:t>
      </w:r>
    </w:p>
    <w:p>
      <w:pPr>
        <w:keepNext w:val="0"/>
        <w:keepLines w:val="0"/>
        <w:pageBreakBefore w:val="0"/>
        <w:kinsoku/>
        <w:wordWrap/>
        <w:overflowPunct/>
        <w:topLinePunct w:val="0"/>
        <w:bidi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学院确定拟录取的调剂考生名单</w:t>
      </w:r>
      <w:r>
        <w:rPr>
          <w:rFonts w:hint="eastAsia" w:ascii="仿宋" w:hAnsi="仿宋" w:eastAsia="仿宋" w:cs="仿宋"/>
          <w:sz w:val="30"/>
          <w:szCs w:val="30"/>
          <w:lang w:eastAsia="zh-CN"/>
        </w:rPr>
        <w:t>和</w:t>
      </w:r>
      <w:r>
        <w:rPr>
          <w:rFonts w:hint="eastAsia" w:ascii="仿宋" w:hAnsi="仿宋" w:eastAsia="仿宋" w:cs="仿宋"/>
          <w:sz w:val="30"/>
          <w:szCs w:val="30"/>
        </w:rPr>
        <w:t>汇总表</w:t>
      </w:r>
      <w:r>
        <w:rPr>
          <w:rFonts w:hint="eastAsia" w:ascii="仿宋" w:hAnsi="仿宋" w:eastAsia="仿宋" w:cs="仿宋"/>
          <w:sz w:val="30"/>
          <w:szCs w:val="30"/>
          <w:lang w:eastAsia="zh-CN"/>
        </w:rPr>
        <w:t>，</w:t>
      </w:r>
      <w:r>
        <w:rPr>
          <w:rFonts w:hint="eastAsia" w:ascii="仿宋" w:hAnsi="仿宋" w:eastAsia="仿宋" w:cs="仿宋"/>
          <w:sz w:val="30"/>
          <w:szCs w:val="30"/>
        </w:rPr>
        <w:t>加盖学院公章报研究生处研究生院（筹）审核同意后方可给调剂考生发送待录取通知。学院发待录取通知前，务必要确保考生网上填报的调剂志愿与拟录取专业相同（专业及研究方向代码完全一致）。</w:t>
      </w:r>
    </w:p>
    <w:p>
      <w:pPr>
        <w:keepNext w:val="0"/>
        <w:keepLines w:val="0"/>
        <w:pageBreakBefore w:val="0"/>
        <w:kinsoku/>
        <w:wordWrap/>
        <w:overflowPunct/>
        <w:topLinePunct w:val="0"/>
        <w:bidi w:val="0"/>
        <w:spacing w:line="500" w:lineRule="exact"/>
        <w:ind w:firstLine="600" w:firstLineChars="200"/>
        <w:rPr>
          <w:rFonts w:hint="eastAsia" w:ascii="仿宋" w:hAnsi="仿宋" w:eastAsia="仿宋" w:cs="仿宋"/>
          <w:color w:val="333333"/>
          <w:kern w:val="0"/>
          <w:sz w:val="30"/>
          <w:szCs w:val="30"/>
          <w:lang w:val="en-US" w:eastAsia="zh-CN"/>
        </w:rPr>
      </w:pPr>
      <w:r>
        <w:rPr>
          <w:rFonts w:hint="eastAsia" w:ascii="仿宋" w:hAnsi="仿宋" w:eastAsia="仿宋" w:cs="仿宋"/>
          <w:sz w:val="30"/>
          <w:szCs w:val="30"/>
          <w:lang w:val="en-US" w:eastAsia="zh-CN"/>
        </w:rPr>
        <w:t>6、</w:t>
      </w:r>
      <w:r>
        <w:rPr>
          <w:rFonts w:hint="eastAsia" w:ascii="仿宋" w:hAnsi="仿宋" w:eastAsia="仿宋" w:cs="仿宋"/>
          <w:sz w:val="30"/>
          <w:szCs w:val="30"/>
        </w:rPr>
        <w:t>调剂考生在调剂系统接到“待录取”通知后，必须在规定的时间内确认“待录取”，否则学校有权直接取消拟录取资格。</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90" w:firstLineChars="196"/>
        <w:jc w:val="left"/>
        <w:textAlignment w:val="auto"/>
        <w:outlineLvl w:val="9"/>
        <w:rPr>
          <w:rFonts w:hint="eastAsia" w:ascii="仿宋" w:hAnsi="仿宋" w:eastAsia="仿宋" w:cs="仿宋"/>
          <w:b/>
          <w:bCs/>
          <w:kern w:val="0"/>
          <w:sz w:val="30"/>
          <w:szCs w:val="30"/>
        </w:rPr>
      </w:pPr>
      <w:r>
        <w:rPr>
          <w:rFonts w:hint="eastAsia" w:ascii="仿宋" w:hAnsi="仿宋" w:eastAsia="仿宋" w:cs="仿宋"/>
          <w:b/>
          <w:sz w:val="30"/>
          <w:szCs w:val="30"/>
          <w:lang w:eastAsia="zh-CN"/>
        </w:rPr>
        <w:t>五</w:t>
      </w:r>
      <w:r>
        <w:rPr>
          <w:rFonts w:hint="eastAsia" w:ascii="仿宋" w:hAnsi="仿宋" w:eastAsia="仿宋" w:cs="仿宋"/>
          <w:b/>
          <w:sz w:val="30"/>
          <w:szCs w:val="30"/>
        </w:rPr>
        <w:t>、</w:t>
      </w:r>
      <w:r>
        <w:rPr>
          <w:rFonts w:hint="eastAsia" w:ascii="仿宋" w:hAnsi="仿宋" w:eastAsia="仿宋" w:cs="仿宋"/>
          <w:b/>
          <w:bCs/>
          <w:kern w:val="0"/>
          <w:sz w:val="30"/>
          <w:szCs w:val="30"/>
          <w:lang w:eastAsia="zh-CN"/>
        </w:rPr>
        <w:t>奖助政策</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600" w:firstLineChars="200"/>
        <w:jc w:val="left"/>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我校</w:t>
      </w:r>
      <w:r>
        <w:rPr>
          <w:rFonts w:hint="eastAsia" w:ascii="仿宋" w:hAnsi="仿宋" w:eastAsia="仿宋" w:cs="仿宋"/>
          <w:kern w:val="0"/>
          <w:sz w:val="30"/>
          <w:szCs w:val="30"/>
          <w:lang w:eastAsia="zh-CN"/>
        </w:rPr>
        <w:t>为艺术硕士</w:t>
      </w:r>
      <w:r>
        <w:rPr>
          <w:rFonts w:hint="eastAsia" w:ascii="仿宋" w:hAnsi="仿宋" w:eastAsia="仿宋" w:cs="仿宋"/>
          <w:kern w:val="0"/>
          <w:sz w:val="30"/>
          <w:szCs w:val="30"/>
        </w:rPr>
        <w:t>研究生</w:t>
      </w:r>
      <w:r>
        <w:rPr>
          <w:rFonts w:hint="eastAsia" w:ascii="仿宋" w:hAnsi="仿宋" w:eastAsia="仿宋" w:cs="仿宋"/>
          <w:kern w:val="0"/>
          <w:sz w:val="30"/>
          <w:szCs w:val="30"/>
          <w:lang w:eastAsia="zh-CN"/>
        </w:rPr>
        <w:t>设立了国家奖学金、国家助学金、学业奖学金和“三助”金。获得国家奖学金，奖助</w:t>
      </w:r>
      <w:r>
        <w:rPr>
          <w:rFonts w:hint="eastAsia" w:ascii="仿宋" w:hAnsi="仿宋" w:eastAsia="仿宋" w:cs="仿宋"/>
          <w:kern w:val="0"/>
          <w:sz w:val="30"/>
          <w:szCs w:val="30"/>
          <w:lang w:val="en-US" w:eastAsia="zh-CN"/>
        </w:rPr>
        <w:t>20000元/人；</w:t>
      </w:r>
      <w:r>
        <w:rPr>
          <w:rFonts w:hint="eastAsia" w:ascii="仿宋" w:hAnsi="仿宋" w:eastAsia="仿宋" w:cs="仿宋"/>
          <w:kern w:val="0"/>
          <w:sz w:val="30"/>
          <w:szCs w:val="30"/>
        </w:rPr>
        <w:t>研究生国家助学金，</w:t>
      </w:r>
      <w:r>
        <w:rPr>
          <w:rFonts w:hint="eastAsia" w:ascii="仿宋" w:hAnsi="仿宋" w:eastAsia="仿宋" w:cs="仿宋"/>
          <w:kern w:val="0"/>
          <w:sz w:val="30"/>
          <w:szCs w:val="30"/>
          <w:lang w:eastAsia="zh-CN"/>
        </w:rPr>
        <w:t>每生</w:t>
      </w:r>
      <w:r>
        <w:rPr>
          <w:rFonts w:hint="eastAsia" w:ascii="仿宋" w:hAnsi="仿宋" w:eastAsia="仿宋" w:cs="仿宋"/>
          <w:kern w:val="0"/>
          <w:sz w:val="30"/>
          <w:szCs w:val="30"/>
        </w:rPr>
        <w:t>每年6000元。自第二学年始，学业成绩优异者可申请优秀研究生学业奖学金，优秀研究生学业奖学金每学年评选一次，最高奖学金8000元。在读研究生可以申请“三助”工作</w:t>
      </w:r>
      <w:r>
        <w:rPr>
          <w:rFonts w:hint="eastAsia" w:ascii="仿宋" w:hAnsi="仿宋" w:eastAsia="仿宋" w:cs="仿宋"/>
          <w:color w:val="auto"/>
          <w:kern w:val="0"/>
          <w:sz w:val="30"/>
          <w:szCs w:val="30"/>
          <w:u w:val="none"/>
        </w:rPr>
        <w:t>，</w:t>
      </w:r>
      <w:r>
        <w:rPr>
          <w:rFonts w:hint="eastAsia" w:ascii="仿宋" w:hAnsi="仿宋" w:eastAsia="仿宋" w:cs="仿宋"/>
          <w:b w:val="0"/>
          <w:bCs/>
          <w:color w:val="auto"/>
          <w:sz w:val="30"/>
          <w:szCs w:val="30"/>
          <w:u w:val="none"/>
        </w:rPr>
        <w:t>受聘“三助”岗位研究生每人每月酬金为500-600元</w:t>
      </w:r>
      <w:r>
        <w:rPr>
          <w:rFonts w:hint="eastAsia" w:ascii="仿宋" w:hAnsi="仿宋" w:eastAsia="仿宋" w:cs="仿宋"/>
          <w:b w:val="0"/>
          <w:bCs/>
          <w:color w:val="auto"/>
          <w:kern w:val="0"/>
          <w:sz w:val="30"/>
          <w:szCs w:val="30"/>
          <w:u w:val="none"/>
        </w:rPr>
        <w:t>。</w:t>
      </w:r>
    </w:p>
    <w:p>
      <w:pPr>
        <w:keepNext w:val="0"/>
        <w:keepLines w:val="0"/>
        <w:pageBreakBefore w:val="0"/>
        <w:kinsoku/>
        <w:wordWrap/>
        <w:overflowPunct/>
        <w:topLinePunct w:val="0"/>
        <w:bidi w:val="0"/>
        <w:spacing w:line="500" w:lineRule="exact"/>
        <w:ind w:left="0" w:leftChars="0" w:right="0" w:rightChars="0" w:firstLine="602" w:firstLineChars="200"/>
        <w:textAlignment w:val="auto"/>
        <w:outlineLvl w:val="9"/>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lang w:eastAsia="zh-CN"/>
        </w:rPr>
        <w:t>六、</w:t>
      </w:r>
      <w:r>
        <w:rPr>
          <w:rFonts w:hint="eastAsia" w:ascii="仿宋" w:hAnsi="仿宋" w:eastAsia="仿宋" w:cs="仿宋"/>
          <w:b/>
          <w:color w:val="000000"/>
          <w:kern w:val="0"/>
          <w:sz w:val="30"/>
          <w:szCs w:val="30"/>
        </w:rPr>
        <w:t xml:space="preserve">联系方式： </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600" w:firstLineChars="200"/>
        <w:jc w:val="left"/>
        <w:textAlignment w:val="auto"/>
        <w:outlineLvl w:val="9"/>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eastAsia="zh-CN"/>
        </w:rPr>
        <w:t>招生联系电话</w:t>
      </w:r>
      <w:r>
        <w:rPr>
          <w:rFonts w:hint="eastAsia" w:ascii="仿宋" w:hAnsi="仿宋" w:eastAsia="仿宋" w:cs="仿宋"/>
          <w:color w:val="000000"/>
          <w:kern w:val="0"/>
          <w:sz w:val="30"/>
          <w:szCs w:val="30"/>
        </w:rPr>
        <w:t>：0595-22737900（吴老师）</w:t>
      </w:r>
      <w:r>
        <w:rPr>
          <w:rFonts w:hint="eastAsia" w:ascii="仿宋" w:hAnsi="仿宋" w:eastAsia="仿宋" w:cs="仿宋"/>
          <w:color w:val="000000"/>
          <w:kern w:val="0"/>
          <w:sz w:val="30"/>
          <w:szCs w:val="30"/>
          <w:lang w:eastAsia="zh-CN"/>
        </w:rPr>
        <w:t>，邮箱：</w:t>
      </w:r>
      <w:r>
        <w:rPr>
          <w:rFonts w:hint="eastAsia" w:ascii="仿宋" w:hAnsi="仿宋" w:eastAsia="仿宋" w:cs="仿宋"/>
          <w:color w:val="000000"/>
          <w:kern w:val="0"/>
          <w:sz w:val="30"/>
          <w:szCs w:val="30"/>
          <w:lang w:val="en-US" w:eastAsia="zh-CN"/>
        </w:rPr>
        <w:fldChar w:fldCharType="begin"/>
      </w:r>
      <w:r>
        <w:rPr>
          <w:rFonts w:hint="eastAsia" w:ascii="仿宋" w:hAnsi="仿宋" w:eastAsia="仿宋" w:cs="仿宋"/>
          <w:color w:val="000000"/>
          <w:kern w:val="0"/>
          <w:sz w:val="30"/>
          <w:szCs w:val="30"/>
          <w:lang w:val="en-US" w:eastAsia="zh-CN"/>
        </w:rPr>
        <w:instrText xml:space="preserve"> HYPERLINK "mailto:376141852@qq.com。" </w:instrText>
      </w:r>
      <w:r>
        <w:rPr>
          <w:rFonts w:hint="eastAsia" w:ascii="仿宋" w:hAnsi="仿宋" w:eastAsia="仿宋" w:cs="仿宋"/>
          <w:color w:val="000000"/>
          <w:kern w:val="0"/>
          <w:sz w:val="30"/>
          <w:szCs w:val="30"/>
          <w:lang w:val="en-US" w:eastAsia="zh-CN"/>
        </w:rPr>
        <w:fldChar w:fldCharType="separate"/>
      </w:r>
      <w:r>
        <w:rPr>
          <w:rStyle w:val="7"/>
          <w:rFonts w:hint="eastAsia" w:ascii="仿宋" w:hAnsi="仿宋" w:eastAsia="仿宋" w:cs="仿宋"/>
          <w:color w:val="000000"/>
          <w:kern w:val="0"/>
          <w:sz w:val="30"/>
          <w:szCs w:val="30"/>
          <w:lang w:val="en-US" w:eastAsia="zh-CN"/>
        </w:rPr>
        <w:t>3</w:t>
      </w:r>
      <w:r>
        <w:rPr>
          <w:rStyle w:val="7"/>
          <w:rFonts w:hint="eastAsia" w:ascii="仿宋" w:hAnsi="仿宋" w:eastAsia="仿宋" w:cs="仿宋"/>
          <w:sz w:val="30"/>
          <w:szCs w:val="30"/>
          <w:shd w:val="clear" w:color="auto" w:fill="FFFFFF"/>
        </w:rPr>
        <w:t>76141852@qq.com</w:t>
      </w:r>
      <w:r>
        <w:rPr>
          <w:rStyle w:val="7"/>
          <w:rFonts w:hint="eastAsia" w:ascii="仿宋" w:hAnsi="仿宋" w:eastAsia="仿宋" w:cs="仿宋"/>
          <w:sz w:val="30"/>
          <w:szCs w:val="30"/>
          <w:shd w:val="clear" w:color="auto" w:fill="FFFFFF"/>
          <w:lang w:eastAsia="zh-CN"/>
        </w:rPr>
        <w:t>。</w:t>
      </w:r>
      <w:r>
        <w:rPr>
          <w:rFonts w:hint="eastAsia" w:ascii="仿宋" w:hAnsi="仿宋" w:eastAsia="仿宋" w:cs="仿宋"/>
          <w:color w:val="000000"/>
          <w:kern w:val="0"/>
          <w:sz w:val="30"/>
          <w:szCs w:val="30"/>
          <w:lang w:val="en-US" w:eastAsia="zh-CN"/>
        </w:rPr>
        <w:fldChar w:fldCharType="end"/>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600" w:firstLineChars="200"/>
        <w:jc w:val="left"/>
        <w:textAlignment w:val="auto"/>
        <w:outlineLvl w:val="9"/>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具体注意事项请关注音乐与舞蹈学院2021招收攻读艺术硕士专业学位研究生复试实施细则,有相关事宜以学院2021研考调剂信息和细则为实施依据。</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600" w:firstLineChars="200"/>
        <w:jc w:val="left"/>
        <w:textAlignment w:val="auto"/>
        <w:outlineLvl w:val="9"/>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1、复试实施细则网址链接：</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600" w:firstLineChars="200"/>
        <w:jc w:val="left"/>
        <w:textAlignment w:val="auto"/>
        <w:outlineLvl w:val="9"/>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fldChar w:fldCharType="begin"/>
      </w:r>
      <w:r>
        <w:rPr>
          <w:rFonts w:hint="eastAsia" w:ascii="仿宋" w:hAnsi="仿宋" w:eastAsia="仿宋" w:cs="仿宋"/>
          <w:kern w:val="0"/>
          <w:sz w:val="30"/>
          <w:szCs w:val="30"/>
          <w:lang w:val="en-US" w:eastAsia="zh-CN"/>
        </w:rPr>
        <w:instrText xml:space="preserve"> HYPERLINK "https://www.qztc.edu.cn/ywxy/2021/0326/c4611a248451/page.htm" </w:instrText>
      </w:r>
      <w:r>
        <w:rPr>
          <w:rFonts w:hint="eastAsia" w:ascii="仿宋" w:hAnsi="仿宋" w:eastAsia="仿宋" w:cs="仿宋"/>
          <w:kern w:val="0"/>
          <w:sz w:val="30"/>
          <w:szCs w:val="30"/>
          <w:lang w:val="en-US" w:eastAsia="zh-CN"/>
        </w:rPr>
        <w:fldChar w:fldCharType="separate"/>
      </w:r>
      <w:r>
        <w:rPr>
          <w:rStyle w:val="7"/>
          <w:rFonts w:hint="eastAsia" w:ascii="仿宋" w:hAnsi="仿宋" w:eastAsia="仿宋" w:cs="仿宋"/>
          <w:kern w:val="0"/>
          <w:sz w:val="30"/>
          <w:szCs w:val="30"/>
          <w:lang w:val="en-US" w:eastAsia="zh-CN"/>
        </w:rPr>
        <w:t>https://www.qztc.edu.cn/ywxy/2021/0326/c4611a248451/page.htm</w:t>
      </w:r>
      <w:r>
        <w:rPr>
          <w:rFonts w:hint="eastAsia" w:ascii="仿宋" w:hAnsi="仿宋" w:eastAsia="仿宋" w:cs="仿宋"/>
          <w:kern w:val="0"/>
          <w:sz w:val="30"/>
          <w:szCs w:val="30"/>
          <w:lang w:val="en-US" w:eastAsia="zh-CN"/>
        </w:rPr>
        <w:fldChar w:fldCharType="end"/>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602" w:firstLineChars="200"/>
        <w:jc w:val="left"/>
        <w:textAlignment w:val="auto"/>
        <w:outlineLvl w:val="9"/>
        <w:rPr>
          <w:rFonts w:hint="eastAsia" w:ascii="仿宋" w:hAnsi="仿宋" w:eastAsia="仿宋" w:cs="仿宋"/>
          <w:kern w:val="0"/>
          <w:sz w:val="30"/>
          <w:szCs w:val="30"/>
          <w:lang w:val="en-US" w:eastAsia="zh-CN"/>
        </w:rPr>
      </w:pPr>
      <w:r>
        <w:rPr>
          <w:rFonts w:hint="eastAsia" w:ascii="仿宋" w:hAnsi="仿宋" w:eastAsia="仿宋" w:cs="仿宋"/>
          <w:b/>
          <w:bCs/>
          <w:color w:val="000000"/>
          <w:kern w:val="0"/>
          <w:sz w:val="30"/>
          <w:szCs w:val="30"/>
          <w:lang w:val="en-US" w:eastAsia="zh-CN"/>
        </w:rPr>
        <w:t>2</w:t>
      </w:r>
      <w:r>
        <w:rPr>
          <w:rFonts w:hint="eastAsia" w:ascii="仿宋" w:hAnsi="仿宋" w:eastAsia="仿宋" w:cs="仿宋"/>
          <w:kern w:val="0"/>
          <w:sz w:val="30"/>
          <w:szCs w:val="30"/>
          <w:lang w:val="en-US" w:eastAsia="zh-CN"/>
        </w:rPr>
        <w:t>、中国移动“云视讯云考场”web登录网址：https://v2-ykc-exam.hanwangjiaoyu.com/user/login/QZTCEdu</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600" w:firstLineChars="200"/>
        <w:jc w:val="left"/>
        <w:textAlignment w:val="auto"/>
        <w:outlineLvl w:val="9"/>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3、中国移动“云视讯云考场”客户端下载地址：https://ykc-download.hanwangjiaoyu.com/v2</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600" w:firstLineChars="200"/>
        <w:jc w:val="center"/>
        <w:textAlignment w:val="auto"/>
        <w:outlineLvl w:val="9"/>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 xml:space="preserve">                              </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600" w:firstLineChars="200"/>
        <w:jc w:val="center"/>
        <w:textAlignment w:val="auto"/>
        <w:outlineLvl w:val="9"/>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 xml:space="preserve">                              音乐与舞蹈学院</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600" w:firstLineChars="200"/>
        <w:jc w:val="right"/>
        <w:textAlignment w:val="auto"/>
        <w:outlineLvl w:val="9"/>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 xml:space="preserve">  研究生复试录取工作领导小组</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600" w:firstLineChars="200"/>
        <w:jc w:val="center"/>
        <w:textAlignment w:val="auto"/>
        <w:outlineLvl w:val="9"/>
        <w:rPr>
          <w:rFonts w:hint="default"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 xml:space="preserve">                               2021年4月2日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8B575"/>
    <w:multiLevelType w:val="singleLevel"/>
    <w:tmpl w:val="8408B57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E40BA"/>
    <w:rsid w:val="06D013FD"/>
    <w:rsid w:val="0DEE5170"/>
    <w:rsid w:val="19DF7156"/>
    <w:rsid w:val="1A8E3CB5"/>
    <w:rsid w:val="1C561152"/>
    <w:rsid w:val="2727137E"/>
    <w:rsid w:val="27A515AA"/>
    <w:rsid w:val="2E0F62F3"/>
    <w:rsid w:val="314E6962"/>
    <w:rsid w:val="33466145"/>
    <w:rsid w:val="36B42DEE"/>
    <w:rsid w:val="36C27F3D"/>
    <w:rsid w:val="3CC0769E"/>
    <w:rsid w:val="3E644F3E"/>
    <w:rsid w:val="41B705F1"/>
    <w:rsid w:val="5120595E"/>
    <w:rsid w:val="52AC0505"/>
    <w:rsid w:val="52FB006C"/>
    <w:rsid w:val="54746768"/>
    <w:rsid w:val="56EA3A4F"/>
    <w:rsid w:val="5B9E3849"/>
    <w:rsid w:val="5E6C4C44"/>
    <w:rsid w:val="644C7B6F"/>
    <w:rsid w:val="698B57A2"/>
    <w:rsid w:val="6E9042E0"/>
    <w:rsid w:val="6FDE40BA"/>
    <w:rsid w:val="72F27F8E"/>
    <w:rsid w:val="743760A3"/>
    <w:rsid w:val="793B2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FollowedHyperlink"/>
    <w:basedOn w:val="5"/>
    <w:qFormat/>
    <w:uiPriority w:val="0"/>
    <w:rPr>
      <w:color w:val="353535"/>
      <w:u w:val="none"/>
    </w:rPr>
  </w:style>
  <w:style w:type="character" w:styleId="7">
    <w:name w:val="Hyperlink"/>
    <w:basedOn w:val="5"/>
    <w:qFormat/>
    <w:uiPriority w:val="0"/>
    <w:rPr>
      <w:color w:val="333333"/>
      <w:u w:val="none"/>
    </w:rPr>
  </w:style>
  <w:style w:type="character" w:customStyle="1" w:styleId="8">
    <w:name w:val="column-name"/>
    <w:basedOn w:val="5"/>
    <w:qFormat/>
    <w:uiPriority w:val="0"/>
    <w:rPr>
      <w:b/>
      <w:color w:val="202020"/>
    </w:rPr>
  </w:style>
  <w:style w:type="character" w:customStyle="1" w:styleId="9">
    <w:name w:val="column-name1"/>
    <w:basedOn w:val="5"/>
    <w:qFormat/>
    <w:uiPriority w:val="0"/>
    <w:rPr>
      <w:color w:val="FFFFFF"/>
    </w:rPr>
  </w:style>
  <w:style w:type="character" w:customStyle="1" w:styleId="10">
    <w:name w:val="column-name2"/>
    <w:basedOn w:val="5"/>
    <w:qFormat/>
    <w:uiPriority w:val="0"/>
    <w:rPr>
      <w:color w:val="124D83"/>
    </w:rPr>
  </w:style>
  <w:style w:type="character" w:customStyle="1" w:styleId="11">
    <w:name w:val="column-name3"/>
    <w:basedOn w:val="5"/>
    <w:qFormat/>
    <w:uiPriority w:val="0"/>
    <w:rPr>
      <w:color w:val="124D83"/>
    </w:rPr>
  </w:style>
  <w:style w:type="character" w:customStyle="1" w:styleId="12">
    <w:name w:val="column-name4"/>
    <w:basedOn w:val="5"/>
    <w:qFormat/>
    <w:uiPriority w:val="0"/>
    <w:rPr>
      <w:color w:val="124D83"/>
    </w:rPr>
  </w:style>
  <w:style w:type="character" w:customStyle="1" w:styleId="13">
    <w:name w:val="item-name"/>
    <w:basedOn w:val="5"/>
    <w:qFormat/>
    <w:uiPriority w:val="0"/>
  </w:style>
  <w:style w:type="character" w:customStyle="1" w:styleId="14">
    <w:name w:val="item-name1"/>
    <w:basedOn w:val="5"/>
    <w:qFormat/>
    <w:uiPriority w:val="0"/>
  </w:style>
  <w:style w:type="character" w:customStyle="1" w:styleId="15">
    <w:name w:val="item-name2"/>
    <w:basedOn w:val="5"/>
    <w:qFormat/>
    <w:uiPriority w:val="0"/>
  </w:style>
  <w:style w:type="character" w:customStyle="1" w:styleId="16">
    <w:name w:val="item-name3"/>
    <w:basedOn w:val="5"/>
    <w:qFormat/>
    <w:uiPriority w:val="0"/>
  </w:style>
  <w:style w:type="character" w:customStyle="1" w:styleId="17">
    <w:name w:val="news_title"/>
    <w:basedOn w:val="5"/>
    <w:qFormat/>
    <w:uiPriority w:val="0"/>
  </w:style>
  <w:style w:type="character" w:customStyle="1" w:styleId="18">
    <w:name w:val="pubdate-month"/>
    <w:basedOn w:val="5"/>
    <w:qFormat/>
    <w:uiPriority w:val="0"/>
    <w:rPr>
      <w:color w:val="FFFFFF"/>
      <w:sz w:val="24"/>
      <w:szCs w:val="24"/>
      <w:shd w:val="clear" w:fill="CC0000"/>
    </w:rPr>
  </w:style>
  <w:style w:type="character" w:customStyle="1" w:styleId="19">
    <w:name w:val="pubdate-day"/>
    <w:basedOn w:val="5"/>
    <w:qFormat/>
    <w:uiPriority w:val="0"/>
    <w:rPr>
      <w:shd w:val="clear" w:fill="F2F2F2"/>
    </w:rPr>
  </w:style>
  <w:style w:type="character" w:customStyle="1" w:styleId="20">
    <w:name w:val="news_meta"/>
    <w:basedOn w:val="5"/>
    <w:qFormat/>
    <w:uiPriority w:val="0"/>
  </w:style>
  <w:style w:type="character" w:customStyle="1" w:styleId="21">
    <w:name w:val="column-name12"/>
    <w:basedOn w:val="5"/>
    <w:qFormat/>
    <w:uiPriority w:val="0"/>
    <w:rPr>
      <w:b/>
      <w:color w:val="202020"/>
    </w:rPr>
  </w:style>
  <w:style w:type="character" w:customStyle="1" w:styleId="22">
    <w:name w:val="column-name13"/>
    <w:basedOn w:val="5"/>
    <w:qFormat/>
    <w:uiPriority w:val="0"/>
    <w:rPr>
      <w:color w:val="FFFFFF"/>
    </w:rPr>
  </w:style>
  <w:style w:type="character" w:customStyle="1" w:styleId="23">
    <w:name w:val="column-name14"/>
    <w:basedOn w:val="5"/>
    <w:qFormat/>
    <w:uiPriority w:val="0"/>
    <w:rPr>
      <w:color w:val="124D83"/>
    </w:rPr>
  </w:style>
  <w:style w:type="character" w:customStyle="1" w:styleId="24">
    <w:name w:val="column-name15"/>
    <w:basedOn w:val="5"/>
    <w:qFormat/>
    <w:uiPriority w:val="0"/>
    <w:rPr>
      <w:color w:val="124D83"/>
    </w:rPr>
  </w:style>
  <w:style w:type="character" w:customStyle="1" w:styleId="25">
    <w:name w:val="column-name16"/>
    <w:basedOn w:val="5"/>
    <w:qFormat/>
    <w:uiPriority w:val="0"/>
    <w:rPr>
      <w:color w:val="124D8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2019-04-04T06:58:00Z</dcterms:created>
  <dc:creator>lenovo</dc:creator>
  <cp:lastModifiedBy>Aico楠</cp:lastModifiedBy>
  <dcterms:modified xsi:type="dcterms:W3CDTF">2021-04-02T10:03:31Z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563F0D30559B4C018C26D1679CDB7C3C</vt:lpwstr>
  </property>
</Properties>
</file>