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泉州师范学院图书馆2025年数字资源采购项目(二次)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CGXM-2025-350501-02821[2025]01674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[350501]ZYT[GK]2025002-1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泉州师范学院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福建省中亿通招标咨询有限公司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福建省中亿通招标咨询有限公司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泉州师范学院图书馆2025年数字资源采购项目(二次)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CGXM-2025-350501-02821[2025]01674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[350501]ZYT[GK]2025002-1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泉州师范学院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泉州市丰泽区东海大街398号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0595-22919532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福建省中亿通招标咨询有限公司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福州市鼓楼区洪山镇工业路东侧、福三路北侧洪山园地块华润万象城（三期）S11#楼19层10-13办公、15-17办公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350025</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黄静、林庆贺、李萍、林旭辉、郭梅芳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0591-87527653</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福建省中亿通招标咨询有限公司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3,860,000.00</w:t>
      </w:r>
    </w:p>
    <w:p>
      <w:pPr>
        <w:pStyle w:val="null3"/>
        <w:jc w:val="left"/>
      </w:pPr>
      <w:r>
        <w:rPr>
          <w:rFonts w:ascii="仿宋_GB2312" w:hAnsi="仿宋_GB2312" w:cs="仿宋_GB2312" w:eastAsia="仿宋_GB2312"/>
        </w:rPr>
        <w:t>采购包最高限价（元）: 3,860,000.00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学术大数据智能分析检索平台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3,860,000.00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学术大数据智能分析检索平台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学术大数据智能分析检索平台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学术大数据智能分析检索平台</w:t>
            </w:r>
          </w:p>
        </w:tc>
        <w:tc>
          <w:tcPr>
            <w:tcW w:type="dxa" w:w="2076"/>
          </w:tcPr>
          <w:p>
            <w:pPr>
              <w:pStyle w:val="null3"/>
              <w:jc w:val="left"/>
            </w:pPr>
            <w:r>
              <w:rPr>
                <w:rFonts w:ascii="仿宋_GB2312" w:hAnsi="仿宋_GB2312" w:cs="仿宋_GB2312" w:eastAsia="仿宋_GB2312"/>
              </w:rPr>
              <w:t>学术大数据智能分析检索平台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3,860,000.00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泉州市财政局政府采购监督管理办公室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代理服务费是以各采购包中标金额为计算基数，采用差额定率累进法计算。a.若采购包中标金额在100万元（含）以下，则按以下收费标准采用差额定率累进法计算后进行收取，收费标准如下：中标金额100万元（含）以下的部分1.5%计取。b.若采购包中标金额在100万元（不含）以上,则按以下收费标准采用差额定率累进法计算后整体下浮30%进行收取，收费标准如下：中标金额100万元（含）以下的部分1.5%计取；中标金额100万元（不含）-500万元的部分按1.1%计取。②代理服务费由中标人在领取中标通知书的同时，以转账、电汇、现金存款等付款方式一次性缴清。③代理服务费缴交账户名：福建省中亿通招标咨询有限公司泉州分公司； 开户行：中国民生银行股份有限公司福州广达支行； 账号：650011302。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19.1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19.2接收质疑函的方式、联系部门、联系电话和通讯地址：(1)接收质疑函原件的方式：书面形式；(2)接收质疑函的联系部门：办公室；(3)接收质疑函的联系电话：0591-87527653；(4)接收质疑函的通讯地址：福建省中亿通招标咨询有限公司（福建省福州市鼓楼区洪山镇工业路东侧、福三路北侧洪山园地块华润万象城（三期）S11#楼1910）(5)质疑人递交质疑函时还应出具质疑人已在福建省政府采购网上公开信息系统上获取招标文件的证明文件（体现查看时间或获取招标文件时间）。(6)在法定质疑期内供应商须一次性提出针对同一采购程序环节的质疑，若供应商多次对同一采购程序环节提出质疑的，代理机构将不予以受理。19.3投标无效及废标条款：19.3.1第二章投标人须知前附表：附表2④b、⑥ab；19.3.2第三章投标人须知：3、9.2、9.3、9.4、9.5、9.6、9.7、10.6（1）（3）、 10.8（2）、10.9（2）、10.12；19.3.3第四章资格审查与评标：一、资格审查：1.4，二、评标：6.2（6） 、6.3※、6.4（2）b、6.7、6.9、6.10、8.3；19.3.4投标人出现 《福建省财政厅关于电子化政府采购项目中视为串标情形认定与处理的指导意见》（闽财购〔2018〕30号）文中规定的视为串标情形的，其投标无效；19.3.5招标文件中其他涉及投标无效的条款。</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b、关于远程开标的规定：①本项目支持远程开标，投标人可通过远程线上参与开标，具体系统操作指南详见福建省政府采购网首页上相关操作手册。②本项目开标过程中解密的操作时限为30分钟，远程签章操作时限为10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福建省中亿通招标咨询有限公司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福建省中亿通招标咨询有限公司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福建省中亿通招标咨询有限公司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福建省中亿通招标咨询有限公司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福建省中亿通招标咨询有限公司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提出询问，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由福建省中亿通招标咨询有限公司派出的工作人员至少1人，</w:t>
      </w:r>
      <w:r>
        <w:rPr>
          <w:rFonts w:ascii="仿宋_GB2312" w:hAnsi="仿宋_GB2312" w:cs="仿宋_GB2312" w:eastAsia="仿宋_GB2312"/>
        </w:rPr>
        <w:t>其余1人可为采购人代表或福建省中亿通招标咨询有限公司的工作人员。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专门面向中小企业采购项目，投标人应按以下要求提供相关证明材料：1、投标人符合《工业和信息化部、国家统计局、国家发展和改革委员会、财政部关于印发中小企业划型标准规定的通知》（工信部联企业[2011]300号）规定的划分标准，提供《中小企业声明函》。2、投标人为监狱企业的，可不填写本声明函，根据其提供的由省级以上监狱管理局、戒毒管理局（含新疆生产建设兵团）出具的属于监狱企业的证明文件进行认定，监狱企业视同小型、微型企业。3、投标人为残疾人福利性单位的，可不填写本声明函，根据其提供的《残疾人福利性单位声明函》进行认定，残疾人福利性单位视同小型、微型企业。※投标人应按照招标文件第七章规定提供。本项目为货物类采购项目，本项目（采购标的）中小企业划分标准所属行业为“软件和信息技术服务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福建省中亿通招标咨询有限公司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福建省中亿通招标咨询有限公司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对招标文件《第五章招标内容及要求》“二、技术和服务要求”中以“★”标示的不允许负偏离的实质性要求有负偏离或未响应的；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3322"/>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投标标的”为货物的：标的说明一览表中“规格”项下应填写货物制造厂商赋予的品牌（属于节能、环保清单产品的货物，填写的品牌名称应与清单载明的品牌名称保持一致）及具体型号。“投标标的”为服务的：标的说明一览表中“规格”项下应填写服务提供者提供的服务标准及品牌（若有）。未按上述要求填写视为投标文件响应不完整，则符合性审查不通过，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w:t>
            </w:r>
          </w:p>
        </w:tc>
      </w:tr>
      <w:tr>
        <w:tc>
          <w:tcPr>
            <w:tcW w:type="dxa" w:w="3322"/>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对招标文件《第五章招标内容及要求》“三、商务条件”中以“★”标示的内容有负偏离或未响应的；</w:t>
            </w:r>
          </w:p>
        </w:tc>
      </w:tr>
      <w:tr>
        <w:tc>
          <w:tcPr>
            <w:tcW w:type="dxa" w:w="3322"/>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违反招标文件中载明“投标无效”条款的规定。</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福建省中亿通招标咨询有限公司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价格扣除的规则如下：</w:t>
      </w:r>
    </w:p>
    <w:p>
      <w:pPr>
        <w:pStyle w:val="null3"/>
        <w:jc w:val="both"/>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节能、环境标志产品每个单项报价10%的价格扣除，用扣除后的价格参加评审。采购标的同时包含其它非优先采购产品的，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注：供应商须提供属于节能（非强制类产品）、环境标志产品的证明资料（国家确定的认证机构出具的、处于有效期之内的产品认证证书复印件），并加盖供应商公章。①节能产品是指财政部、发展改革委最新公布的《节能产品政府采购品目清单》内且获得国家确定的认证机构出具的、处于有效期之内的节能产品认证证书的产品；环境标志产品是指生态环境部和财政部最新公布的《环境标志产品政府采购品目清单》内且获得国家确定的认证机构出具的、处于有效期之内的环境标志产品认证证书的产品；②若同一采购包内的节能、环境标志产品仅是构成投标产品的部件、组件或零件的，则不给予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a.按照评标价（即价格扣除后的投标报价）由低到高顺序排列。</w:t>
      </w:r>
    </w:p>
    <w:p>
      <w:pPr>
        <w:pStyle w:val="null3"/>
        <w:jc w:val="both"/>
      </w:pPr>
      <w:r>
        <w:rPr>
          <w:rFonts w:ascii="仿宋_GB2312" w:hAnsi="仿宋_GB2312" w:cs="仿宋_GB2312" w:eastAsia="仿宋_GB2312"/>
        </w:rPr>
        <w:t>b.评标价相同的并列。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1.本次采购项目为泉州师范学院图书馆2025年数字资源采购项目, 包含有学术大数据智能分析检索平台、中国学术期刊等共计8个数据库。 图书馆文献资源建设是学校学科建设，教师教学科研以及学生学习不可或缺的资源保障，而数字资源是文献信息资源的重要组成部分，为保证文献信息资源的延续性,每年都需要采购及更新，才能满足学校师生学习、教学及科研需求。本次数字资源采购项目, 是根据采购人学科建设、师生文献资源需求的调研结果, 符合采购人学科建设及人才培养需要，对于学校发展起着重要的文献支撑作用。</w:t>
      </w:r>
    </w:p>
    <w:p>
      <w:pPr>
        <w:pStyle w:val="null3"/>
        <w:ind w:firstLine="420"/>
        <w:jc w:val="both"/>
      </w:pPr>
      <w:r>
        <w:rPr>
          <w:rFonts w:ascii="仿宋_GB2312" w:hAnsi="仿宋_GB2312" w:cs="仿宋_GB2312" w:eastAsia="仿宋_GB2312"/>
          <w:sz w:val="24"/>
          <w:b/>
        </w:rPr>
        <w:t>2.★本</w:t>
      </w:r>
      <w:r>
        <w:rPr>
          <w:rFonts w:ascii="仿宋_GB2312" w:hAnsi="仿宋_GB2312" w:cs="仿宋_GB2312" w:eastAsia="仿宋_GB2312"/>
          <w:sz w:val="24"/>
          <w:b/>
        </w:rPr>
        <w:t>章节</w:t>
      </w:r>
      <w:r>
        <w:rPr>
          <w:rFonts w:ascii="仿宋_GB2312" w:hAnsi="仿宋_GB2312" w:cs="仿宋_GB2312" w:eastAsia="仿宋_GB2312"/>
          <w:sz w:val="24"/>
          <w:b/>
        </w:rPr>
        <w:t>“二、技术和服务要求”和“三、商务要求”的</w:t>
      </w:r>
      <w:r>
        <w:rPr>
          <w:rFonts w:ascii="仿宋_GB2312" w:hAnsi="仿宋_GB2312" w:cs="仿宋_GB2312" w:eastAsia="仿宋_GB2312"/>
          <w:sz w:val="24"/>
          <w:b/>
        </w:rPr>
        <w:t>内容均为不允许负偏离的实质性要求，有偏离按照无效投标处理。</w:t>
      </w:r>
    </w:p>
    <w:p>
      <w:pPr>
        <w:pStyle w:val="null3"/>
        <w:ind w:firstLine="420"/>
        <w:jc w:val="both"/>
      </w:pPr>
      <w:r>
        <w:rPr>
          <w:rFonts w:ascii="仿宋_GB2312" w:hAnsi="仿宋_GB2312" w:cs="仿宋_GB2312" w:eastAsia="仿宋_GB2312"/>
          <w:sz w:val="24"/>
          <w:b/>
        </w:rPr>
        <w:t>3.本次采购项目核心产品：</w:t>
      </w:r>
    </w:p>
    <w:p>
      <w:pPr>
        <w:pStyle w:val="null3"/>
        <w:ind w:firstLine="420"/>
        <w:jc w:val="both"/>
      </w:pPr>
      <w:r>
        <w:rPr>
          <w:rFonts w:ascii="仿宋_GB2312" w:hAnsi="仿宋_GB2312" w:cs="仿宋_GB2312" w:eastAsia="仿宋_GB2312"/>
          <w:sz w:val="24"/>
          <w:b/>
        </w:rPr>
        <w:t>采购包</w:t>
      </w:r>
      <w:r>
        <w:rPr>
          <w:rFonts w:ascii="仿宋_GB2312" w:hAnsi="仿宋_GB2312" w:cs="仿宋_GB2312" w:eastAsia="仿宋_GB2312"/>
          <w:sz w:val="24"/>
          <w:b/>
        </w:rPr>
        <w:t>1：学术大数据智能分析检索平台；</w:t>
      </w:r>
    </w:p>
    <w:p>
      <w:pPr>
        <w:pStyle w:val="null3"/>
        <w:ind w:firstLine="420"/>
        <w:jc w:val="both"/>
      </w:pPr>
      <w:r>
        <w:rPr>
          <w:rFonts w:ascii="仿宋_GB2312" w:hAnsi="仿宋_GB2312" w:cs="仿宋_GB2312" w:eastAsia="仿宋_GB2312"/>
          <w:sz w:val="24"/>
          <w:b/>
        </w:rPr>
        <w:t>若提供相同品牌产品的不同投标人参加同一合同项下投标的，按招标文件相关规定执行。凡是列入核心产品范围的，其中任一产品出现相同品牌的，均被认定为一家投标人来计算。</w:t>
      </w:r>
      <w:r>
        <w:rPr>
          <w:rFonts w:ascii="仿宋_GB2312" w:hAnsi="仿宋_GB2312" w:cs="仿宋_GB2312" w:eastAsia="仿宋_GB2312"/>
          <w:sz w:val="24"/>
          <w:b/>
        </w:rPr>
        <w:t>若投标人在同一品牌认定环节未填写具体品牌，评标委员会将以“标的说明一览表”填写的品牌进行评审。若因投标人未在“标的说明一览表”中填写品牌导致评标委员会无法对同一品牌事项进行认定的，按照无效投标处理。</w:t>
      </w:r>
    </w:p>
    <w:p>
      <w:pPr>
        <w:pStyle w:val="null3"/>
        <w:ind w:firstLine="482"/>
        <w:jc w:val="both"/>
      </w:pPr>
      <w:r>
        <w:rPr>
          <w:rFonts w:ascii="仿宋_GB2312" w:hAnsi="仿宋_GB2312" w:cs="仿宋_GB2312" w:eastAsia="仿宋_GB2312"/>
          <w:sz w:val="24"/>
          <w:b/>
        </w:rPr>
        <w:t>4.投标人总报价为货物送达采购人指定地点，经采购人验收合格并交付使用后所有可能发生的费用，包括但不限于安装、调试、验收、售后服务、质量保修期内的维护费等费用。还要考虑到合同中可能出现的索赔和变更，并以此报价作为投标报价。</w:t>
      </w:r>
    </w:p>
    <w:p>
      <w:pPr>
        <w:pStyle w:val="null3"/>
        <w:ind w:firstLine="482"/>
        <w:jc w:val="both"/>
      </w:pPr>
      <w:r>
        <w:rPr>
          <w:rFonts w:ascii="仿宋_GB2312" w:hAnsi="仿宋_GB2312" w:cs="仿宋_GB2312" w:eastAsia="仿宋_GB2312"/>
          <w:sz w:val="24"/>
          <w:b/>
        </w:rPr>
        <w:t>5.《中小企业声明函》填写特别说明：</w:t>
      </w:r>
    </w:p>
    <w:p>
      <w:pPr>
        <w:pStyle w:val="null3"/>
        <w:ind w:firstLine="482"/>
        <w:jc w:val="both"/>
      </w:pPr>
      <w:r>
        <w:rPr>
          <w:rFonts w:ascii="仿宋_GB2312" w:hAnsi="仿宋_GB2312" w:cs="仿宋_GB2312" w:eastAsia="仿宋_GB2312"/>
          <w:sz w:val="24"/>
          <w:b/>
        </w:rPr>
        <w:t>投标人所提供的《中小企业声明函》须按招标文件中明确的所属行业和</w:t>
      </w:r>
      <w:r>
        <w:rPr>
          <w:rFonts w:ascii="仿宋_GB2312" w:hAnsi="仿宋_GB2312" w:cs="仿宋_GB2312" w:eastAsia="仿宋_GB2312"/>
          <w:sz w:val="24"/>
          <w:b/>
        </w:rPr>
        <w:t>标的名称</w:t>
      </w:r>
      <w:r>
        <w:rPr>
          <w:rFonts w:ascii="仿宋_GB2312" w:hAnsi="仿宋_GB2312" w:cs="仿宋_GB2312" w:eastAsia="仿宋_GB2312"/>
          <w:sz w:val="24"/>
          <w:b/>
        </w:rPr>
        <w:t>逐条填列，否则，其提供的《中小企业声明函》将被判定为无效声明函，由此造成的后果由投标人自行承担（涉及资格的按无效投标处理；涉及价格评审优惠的，不予认定）。</w:t>
      </w:r>
      <w:r>
        <w:rPr>
          <w:rFonts w:ascii="仿宋_GB2312" w:hAnsi="仿宋_GB2312" w:cs="仿宋_GB2312" w:eastAsia="仿宋_GB2312"/>
          <w:sz w:val="24"/>
          <w:b/>
        </w:rPr>
        <w:t>(本文件中描述与此处不一致的，以此处为准)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采购包</w:t>
      </w:r>
      <w:r>
        <w:rPr>
          <w:rFonts w:ascii="仿宋_GB2312" w:hAnsi="仿宋_GB2312" w:cs="仿宋_GB2312" w:eastAsia="仿宋_GB2312"/>
          <w:sz w:val="24"/>
          <w:b/>
        </w:rPr>
        <w:t>1：学术大数据智能分析检索平台</w:t>
      </w:r>
    </w:p>
    <w:p>
      <w:pPr>
        <w:pStyle w:val="null3"/>
        <w:ind w:firstLine="480"/>
      </w:pPr>
      <w:r>
        <w:rPr>
          <w:rFonts w:ascii="仿宋_GB2312" w:hAnsi="仿宋_GB2312" w:cs="仿宋_GB2312" w:eastAsia="仿宋_GB2312"/>
          <w:sz w:val="24"/>
        </w:rPr>
        <w:t>平台包含</w:t>
      </w:r>
      <w:r>
        <w:rPr>
          <w:rFonts w:ascii="仿宋_GB2312" w:hAnsi="仿宋_GB2312" w:cs="仿宋_GB2312" w:eastAsia="仿宋_GB2312"/>
          <w:sz w:val="24"/>
        </w:rPr>
        <w:t>SCIE（科学引文索引）、SSCI（社会科学引文索引）数据库及Research Assistant(Web of Science 研究助手)。</w:t>
      </w:r>
    </w:p>
    <w:p>
      <w:pPr>
        <w:pStyle w:val="null3"/>
      </w:pPr>
      <w:r>
        <w:rPr>
          <w:rFonts w:ascii="仿宋_GB2312" w:hAnsi="仿宋_GB2312" w:cs="仿宋_GB2312" w:eastAsia="仿宋_GB2312"/>
          <w:sz w:val="24"/>
        </w:rPr>
        <w:t>（一）</w:t>
      </w:r>
      <w:r>
        <w:rPr>
          <w:rFonts w:ascii="仿宋_GB2312" w:hAnsi="仿宋_GB2312" w:cs="仿宋_GB2312" w:eastAsia="仿宋_GB2312"/>
          <w:sz w:val="24"/>
        </w:rPr>
        <w:t>SCIE（科学引文索引）数据库</w:t>
      </w:r>
    </w:p>
    <w:p>
      <w:pPr>
        <w:pStyle w:val="null3"/>
        <w:ind w:firstLine="480"/>
      </w:pPr>
      <w:r>
        <w:rPr>
          <w:rFonts w:ascii="仿宋_GB2312" w:hAnsi="仿宋_GB2312" w:cs="仿宋_GB2312" w:eastAsia="仿宋_GB2312"/>
          <w:sz w:val="24"/>
        </w:rPr>
        <w:t>1.要求收录不少于9500多种的国际性、高影响力的学术期刊。内容包含化学与化工、材料科学、工程学、计算机科学、物理学、环境科学与工程、食品科学与技术、基因与遗传、动物学、植物学、微生物学等170多个自然科学、工程和生物技术领域。数据最早可回溯至1900年。</w:t>
      </w:r>
    </w:p>
    <w:p>
      <w:pPr>
        <w:pStyle w:val="null3"/>
        <w:ind w:firstLine="480"/>
      </w:pPr>
      <w:r>
        <w:rPr>
          <w:rFonts w:ascii="仿宋_GB2312" w:hAnsi="仿宋_GB2312" w:cs="仿宋_GB2312" w:eastAsia="仿宋_GB2312"/>
          <w:sz w:val="24"/>
        </w:rPr>
        <w:t>2.要求允许单位内部同时登录的最终用户数无并发用户限制。</w:t>
      </w:r>
    </w:p>
    <w:p>
      <w:pPr>
        <w:pStyle w:val="null3"/>
        <w:ind w:firstLine="480"/>
      </w:pPr>
      <w:r>
        <w:rPr>
          <w:rFonts w:ascii="仿宋_GB2312" w:hAnsi="仿宋_GB2312" w:cs="仿宋_GB2312" w:eastAsia="仿宋_GB2312"/>
          <w:sz w:val="24"/>
        </w:rPr>
        <w:t>3.要求检索途径可按主题、标题、作者、作者识别号、团体作者、编者、出版物、DOI、出版年、地址、机构扩展、会议、语种、文献类型、基金资助机构、授权号、入藏号和PubMed ID字段检索。</w:t>
      </w:r>
    </w:p>
    <w:p>
      <w:pPr>
        <w:pStyle w:val="null3"/>
        <w:ind w:firstLine="480"/>
      </w:pPr>
      <w:r>
        <w:rPr>
          <w:rFonts w:ascii="仿宋_GB2312" w:hAnsi="仿宋_GB2312" w:cs="仿宋_GB2312" w:eastAsia="仿宋_GB2312"/>
          <w:sz w:val="24"/>
        </w:rPr>
        <w:t>4.要求数据导出的格式包括BibTeX, HTML, 纯文本格式，制表符分隔(Win), 制表符分隔（Mac），制表符分隔（Win，UTF-8）和制表符分隔（Mac，UTF-8）。</w:t>
      </w:r>
    </w:p>
    <w:p>
      <w:pPr>
        <w:pStyle w:val="null3"/>
        <w:ind w:firstLine="480"/>
      </w:pPr>
      <w:r>
        <w:rPr>
          <w:rFonts w:ascii="仿宋_GB2312" w:hAnsi="仿宋_GB2312" w:cs="仿宋_GB2312" w:eastAsia="仿宋_GB2312"/>
          <w:sz w:val="24"/>
        </w:rPr>
        <w:t>5.要求数据库内容每天更新。</w:t>
      </w:r>
    </w:p>
    <w:p>
      <w:pPr>
        <w:pStyle w:val="null3"/>
        <w:ind w:firstLine="480"/>
      </w:pPr>
      <w:r>
        <w:rPr>
          <w:rFonts w:ascii="仿宋_GB2312" w:hAnsi="仿宋_GB2312" w:cs="仿宋_GB2312" w:eastAsia="仿宋_GB2312"/>
          <w:sz w:val="24"/>
        </w:rPr>
        <w:t>6.服务方式:远程访问服务，数据有永久访问权。全年提供24小时网络服务，用户无需支付国际流量费。</w:t>
      </w:r>
    </w:p>
    <w:p>
      <w:pPr>
        <w:pStyle w:val="null3"/>
        <w:ind w:firstLine="480"/>
      </w:pPr>
      <w:r>
        <w:rPr>
          <w:rFonts w:ascii="仿宋_GB2312" w:hAnsi="仿宋_GB2312" w:cs="仿宋_GB2312" w:eastAsia="仿宋_GB2312"/>
          <w:sz w:val="24"/>
        </w:rPr>
        <w:t>7.要求提供在线查询符合Counter标准的统计账号。</w:t>
      </w:r>
    </w:p>
    <w:p>
      <w:pPr>
        <w:pStyle w:val="null3"/>
        <w:ind w:firstLine="480"/>
      </w:pPr>
      <w:r>
        <w:rPr>
          <w:rFonts w:ascii="仿宋_GB2312" w:hAnsi="仿宋_GB2312" w:cs="仿宋_GB2312" w:eastAsia="仿宋_GB2312"/>
          <w:sz w:val="24"/>
        </w:rPr>
        <w:t>8.服务期限：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w:t>
      </w:r>
      <w:r>
        <w:rPr>
          <w:rFonts w:ascii="仿宋_GB2312" w:hAnsi="仿宋_GB2312" w:cs="仿宋_GB2312" w:eastAsia="仿宋_GB2312"/>
          <w:sz w:val="24"/>
        </w:rPr>
        <w:t>（回溯为</w:t>
      </w:r>
      <w:r>
        <w:rPr>
          <w:rFonts w:ascii="仿宋_GB2312" w:hAnsi="仿宋_GB2312" w:cs="仿宋_GB2312" w:eastAsia="仿宋_GB2312"/>
          <w:sz w:val="24"/>
        </w:rPr>
        <w:t>1900.1.1-2025.8.31）。</w:t>
      </w:r>
    </w:p>
    <w:p>
      <w:pPr>
        <w:pStyle w:val="null3"/>
      </w:pPr>
      <w:r>
        <w:rPr>
          <w:rFonts w:ascii="仿宋_GB2312" w:hAnsi="仿宋_GB2312" w:cs="仿宋_GB2312" w:eastAsia="仿宋_GB2312"/>
          <w:sz w:val="24"/>
        </w:rPr>
        <w:t>（二）</w:t>
      </w:r>
      <w:r>
        <w:rPr>
          <w:rFonts w:ascii="仿宋_GB2312" w:hAnsi="仿宋_GB2312" w:cs="仿宋_GB2312" w:eastAsia="仿宋_GB2312"/>
          <w:sz w:val="24"/>
        </w:rPr>
        <w:t>SSCI（社会科学引文索引）数据库</w:t>
      </w:r>
    </w:p>
    <w:p>
      <w:pPr>
        <w:pStyle w:val="null3"/>
        <w:ind w:firstLine="480"/>
      </w:pPr>
      <w:r>
        <w:rPr>
          <w:rFonts w:ascii="仿宋_GB2312" w:hAnsi="仿宋_GB2312" w:cs="仿宋_GB2312" w:eastAsia="仿宋_GB2312"/>
          <w:sz w:val="24"/>
        </w:rPr>
        <w:t>1.要求收录不少于3500种期刊。学科范围包括护理、卫生服务与政策、管理学、心理学、经济学、教育等50多个社会学科方向。数据最早可回溯至1900年。</w:t>
      </w:r>
    </w:p>
    <w:p>
      <w:pPr>
        <w:pStyle w:val="null3"/>
        <w:ind w:firstLine="480"/>
      </w:pPr>
      <w:r>
        <w:rPr>
          <w:rFonts w:ascii="仿宋_GB2312" w:hAnsi="仿宋_GB2312" w:cs="仿宋_GB2312" w:eastAsia="仿宋_GB2312"/>
          <w:sz w:val="24"/>
        </w:rPr>
        <w:t>2.要求允许单位内部同时登录的最终用户数无并发用户限制。</w:t>
      </w:r>
    </w:p>
    <w:p>
      <w:pPr>
        <w:pStyle w:val="null3"/>
        <w:ind w:firstLine="480"/>
      </w:pPr>
      <w:r>
        <w:rPr>
          <w:rFonts w:ascii="仿宋_GB2312" w:hAnsi="仿宋_GB2312" w:cs="仿宋_GB2312" w:eastAsia="仿宋_GB2312"/>
          <w:sz w:val="24"/>
        </w:rPr>
        <w:t>3.检索功能：要求提供基本检索、作者检索、被引参考文献检索、化学结构式检索，支持布尔逻辑运算符AND OR NOT检索，可按主题、标题、作者、作者识别号、出版物名称、DOI 、出版年、地址、机构扩展、会议、语种、文献类型、基金资助机构、授权号、入藏号和PubMed ID等字段检索。</w:t>
      </w:r>
    </w:p>
    <w:p>
      <w:pPr>
        <w:pStyle w:val="null3"/>
        <w:ind w:firstLine="480"/>
      </w:pPr>
      <w:r>
        <w:rPr>
          <w:rFonts w:ascii="仿宋_GB2312" w:hAnsi="仿宋_GB2312" w:cs="仿宋_GB2312" w:eastAsia="仿宋_GB2312"/>
          <w:sz w:val="24"/>
        </w:rPr>
        <w:t>4.分析功能：要求通过引文索引Citation Index功能，追踪一个领域的发展脉络。可以按照日期、被引频次、使用次数、相关性等对检索结果进行排序，找到检索结果里面最具影响力的文献。要求分析检索结果功能可以将检索结果按作者、出版年份、学科领域、研究机构、文献语种和期刊名称进行分析，归纳总结出相关领域在不同年份的发展趋势，通过这些分析可以对学科的发展趋势有一个宏观的把握。创建引文报告功能，可以看到检索结果后续施引文献情况以及H指数。</w:t>
      </w:r>
    </w:p>
    <w:p>
      <w:pPr>
        <w:pStyle w:val="null3"/>
        <w:ind w:firstLine="480"/>
      </w:pPr>
      <w:r>
        <w:rPr>
          <w:rFonts w:ascii="仿宋_GB2312" w:hAnsi="仿宋_GB2312" w:cs="仿宋_GB2312" w:eastAsia="仿宋_GB2312"/>
          <w:sz w:val="24"/>
        </w:rPr>
        <w:t>5.管理功能：要求定制登录主页、自定义定题跟踪、引文跟踪以及保存和管理检索历史。</w:t>
      </w:r>
    </w:p>
    <w:p>
      <w:pPr>
        <w:pStyle w:val="null3"/>
        <w:ind w:firstLine="480"/>
      </w:pPr>
      <w:r>
        <w:rPr>
          <w:rFonts w:ascii="仿宋_GB2312" w:hAnsi="仿宋_GB2312" w:cs="仿宋_GB2312" w:eastAsia="仿宋_GB2312"/>
          <w:sz w:val="24"/>
        </w:rPr>
        <w:t>6.要求有HTML、TXT、EXCEL、CSV等输出方式。</w:t>
      </w:r>
    </w:p>
    <w:p>
      <w:pPr>
        <w:pStyle w:val="null3"/>
        <w:ind w:firstLine="480"/>
      </w:pPr>
      <w:r>
        <w:rPr>
          <w:rFonts w:ascii="仿宋_GB2312" w:hAnsi="仿宋_GB2312" w:cs="仿宋_GB2312" w:eastAsia="仿宋_GB2312"/>
          <w:sz w:val="24"/>
        </w:rPr>
        <w:t>7.要求数据库内容每天更新。</w:t>
      </w:r>
    </w:p>
    <w:p>
      <w:pPr>
        <w:pStyle w:val="null3"/>
        <w:ind w:firstLine="480"/>
      </w:pPr>
      <w:r>
        <w:rPr>
          <w:rFonts w:ascii="仿宋_GB2312" w:hAnsi="仿宋_GB2312" w:cs="仿宋_GB2312" w:eastAsia="仿宋_GB2312"/>
          <w:sz w:val="24"/>
        </w:rPr>
        <w:t>8.服务方式:</w:t>
      </w:r>
      <w:r>
        <w:rPr>
          <w:rFonts w:ascii="仿宋_GB2312" w:hAnsi="仿宋_GB2312" w:cs="仿宋_GB2312" w:eastAsia="仿宋_GB2312"/>
        </w:rPr>
        <w:t xml:space="preserve"> </w:t>
      </w:r>
      <w:r>
        <w:rPr>
          <w:rFonts w:ascii="仿宋_GB2312" w:hAnsi="仿宋_GB2312" w:cs="仿宋_GB2312" w:eastAsia="仿宋_GB2312"/>
          <w:sz w:val="24"/>
        </w:rPr>
        <w:t>远程访问服务，数据有永久访问权。</w:t>
      </w:r>
    </w:p>
    <w:p>
      <w:pPr>
        <w:pStyle w:val="null3"/>
        <w:ind w:firstLine="480"/>
      </w:pPr>
      <w:r>
        <w:rPr>
          <w:rFonts w:ascii="仿宋_GB2312" w:hAnsi="仿宋_GB2312" w:cs="仿宋_GB2312" w:eastAsia="仿宋_GB2312"/>
          <w:sz w:val="24"/>
        </w:rPr>
        <w:t>9.服务期限：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12</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w:t>
      </w:r>
      <w:r>
        <w:rPr>
          <w:rFonts w:ascii="仿宋_GB2312" w:hAnsi="仿宋_GB2312" w:cs="仿宋_GB2312" w:eastAsia="仿宋_GB2312"/>
          <w:sz w:val="24"/>
        </w:rPr>
        <w:t>（回溯为</w:t>
      </w:r>
      <w:r>
        <w:rPr>
          <w:rFonts w:ascii="仿宋_GB2312" w:hAnsi="仿宋_GB2312" w:cs="仿宋_GB2312" w:eastAsia="仿宋_GB2312"/>
          <w:sz w:val="24"/>
        </w:rPr>
        <w:t>1900.1.1-2025.8.31）。</w:t>
      </w:r>
    </w:p>
    <w:p>
      <w:pPr>
        <w:pStyle w:val="null3"/>
      </w:pPr>
      <w:r>
        <w:rPr>
          <w:rFonts w:ascii="仿宋_GB2312" w:hAnsi="仿宋_GB2312" w:cs="仿宋_GB2312" w:eastAsia="仿宋_GB2312"/>
          <w:sz w:val="24"/>
        </w:rPr>
        <w:t>（三）</w:t>
      </w:r>
      <w:r>
        <w:rPr>
          <w:rFonts w:ascii="仿宋_GB2312" w:hAnsi="仿宋_GB2312" w:cs="仿宋_GB2312" w:eastAsia="仿宋_GB2312"/>
          <w:sz w:val="24"/>
        </w:rPr>
        <w:t>Research Assistant(Web of Science 研究助手)</w:t>
      </w:r>
    </w:p>
    <w:p>
      <w:pPr>
        <w:pStyle w:val="null3"/>
        <w:ind w:firstLine="480"/>
      </w:pPr>
      <w:r>
        <w:rPr>
          <w:rFonts w:ascii="仿宋_GB2312" w:hAnsi="仿宋_GB2312" w:cs="仿宋_GB2312" w:eastAsia="仿宋_GB2312"/>
          <w:sz w:val="24"/>
        </w:rPr>
        <w:t>1.Web of Science Research Assistant (Web of Science 研究助手)建立在值得信赖且经过专家精心遴选的 Web of Science 核心合集™ 数据基础之上。</w:t>
      </w:r>
    </w:p>
    <w:p>
      <w:pPr>
        <w:pStyle w:val="null3"/>
        <w:ind w:firstLine="480"/>
      </w:pPr>
      <w:r>
        <w:rPr>
          <w:rFonts w:ascii="仿宋_GB2312" w:hAnsi="仿宋_GB2312" w:cs="仿宋_GB2312" w:eastAsia="仿宋_GB2312"/>
          <w:sz w:val="24"/>
        </w:rPr>
        <w:t>2.学科覆盖全球自然科学、工程技术、临床医学等领域内170多个学科；数据来源于全球9,400多种优质学术期刊。</w:t>
      </w:r>
    </w:p>
    <w:p>
      <w:pPr>
        <w:pStyle w:val="null3"/>
        <w:ind w:firstLine="480"/>
      </w:pPr>
      <w:r>
        <w:rPr>
          <w:rFonts w:ascii="仿宋_GB2312" w:hAnsi="仿宋_GB2312" w:cs="仿宋_GB2312" w:eastAsia="仿宋_GB2312"/>
          <w:sz w:val="24"/>
        </w:rPr>
        <w:t>3.检索方式：支持基本检索、高级检索、被引参考文献检索和化学结构检索等多种检索方式；检索技术：可以使用布尔逻辑、组配检索等检索技术；检索字段：可以使用主题、标题、作者、作者标识符、团体作者、编者、出版物名称、DOI、出版年、地址、增强组织信息、会议、语种、文献类型、基金资助机构、授权号、入藏号、PubMed ID等字段进行检索；检索结果导出方式：可导出为TXT、Excel、CSV、HTML、BibTeX、制表符分割等格式文件。</w:t>
      </w:r>
    </w:p>
    <w:p>
      <w:pPr>
        <w:pStyle w:val="null3"/>
        <w:ind w:firstLine="480"/>
      </w:pPr>
      <w:r>
        <w:rPr>
          <w:rFonts w:ascii="仿宋_GB2312" w:hAnsi="仿宋_GB2312" w:cs="仿宋_GB2312" w:eastAsia="仿宋_GB2312"/>
          <w:sz w:val="24"/>
        </w:rPr>
        <w:t>4.元数据接：提供被引频次、到Web of Science数据库全纪录超链接、到Web of Science的施引文献超链接、到Web of Science的相关记录超链接、影响因子、入藏号、DOI号、PubMed号、论文标题、ISBN、ISSN、出版年、出版日期、出版的页码数、Researcher ID、Researcher ID的姓名、卷、期、页码、关键词、文献类型、作者姓名等API接口字段。</w:t>
      </w:r>
    </w:p>
    <w:p>
      <w:pPr>
        <w:pStyle w:val="null3"/>
        <w:ind w:firstLine="480"/>
      </w:pPr>
      <w:r>
        <w:rPr>
          <w:rFonts w:ascii="仿宋_GB2312" w:hAnsi="仿宋_GB2312" w:cs="仿宋_GB2312" w:eastAsia="仿宋_GB2312"/>
          <w:sz w:val="24"/>
        </w:rPr>
        <w:t>5.访问方式：IP认证远程访问，无并发用户限制。</w:t>
      </w:r>
    </w:p>
    <w:p>
      <w:pPr>
        <w:pStyle w:val="null3"/>
        <w:ind w:firstLine="480"/>
      </w:pPr>
      <w:r>
        <w:rPr>
          <w:rFonts w:ascii="仿宋_GB2312" w:hAnsi="仿宋_GB2312" w:cs="仿宋_GB2312" w:eastAsia="仿宋_GB2312"/>
          <w:sz w:val="24"/>
        </w:rPr>
        <w:t>6.要求提供符合COUNTER标准的使用统计报告。</w:t>
      </w:r>
    </w:p>
    <w:p>
      <w:pPr>
        <w:pStyle w:val="null3"/>
        <w:ind w:firstLine="480"/>
      </w:pPr>
      <w:r>
        <w:rPr>
          <w:rFonts w:ascii="仿宋_GB2312" w:hAnsi="仿宋_GB2312" w:cs="仿宋_GB2312" w:eastAsia="仿宋_GB2312"/>
          <w:sz w:val="24"/>
        </w:rPr>
        <w:t>7.服务期限；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2026.12.31。</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①从合同签订之日起开通服务并交付使用；②服务时长以“二、技术和服务要求”中的要求为准。</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投标人提供的数据库必须为经国家相关管理部门批准的数据库, 内容必须符合上级有关意识形态规定要求，应保证所供数据库的版本与来源合法，并对所供应的数据库版本、知识产权、来源承担相应的法律责任。</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1、期次1，说明：详见其他商务要求“（一）验收要求”。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1、经采购人最终验收合格后，中标人提供合法有效的增值税发票（中标人、收款单位、购货票证开票单位三者应一致，中标人收款帐号应为公司的基本帐户），达到付款条件起30日内，支付合同总金额的100.00%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本采购包履约保证金为合同金额的2%</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合同前应向采购人缴纳合同金额2%的履约保证金，如果是以保函形式缴纳履约保证金的，中标人必须开具见索即付(无条件支付)银行保函，且保函有效期(即到期时间)必须涵盖维保期满后6个月，如中标人未按合同有关规定履行其义务，采购人有权扣除履约保证金，用以补偿。该保证金在中标人提供的服务全部验收合格、合同约定事项全部履行完毕且无未了事项后，采购人在收到中标人书面申请后30日内一次性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rPr>
        <w:t>采购包</w:t>
      </w:r>
      <w:r>
        <w:rPr>
          <w:rFonts w:ascii="仿宋_GB2312" w:hAnsi="仿宋_GB2312" w:cs="仿宋_GB2312" w:eastAsia="仿宋_GB2312"/>
          <w:sz w:val="24"/>
          <w:b/>
        </w:rPr>
        <w:t>1具体要求如下：</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验收要求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验收标准</w:t>
      </w:r>
    </w:p>
    <w:p>
      <w:pPr>
        <w:pStyle w:val="null3"/>
        <w:ind w:firstLine="480"/>
        <w:jc w:val="left"/>
      </w:pPr>
      <w:r>
        <w:rPr>
          <w:rFonts w:ascii="仿宋_GB2312" w:hAnsi="仿宋_GB2312" w:cs="仿宋_GB2312" w:eastAsia="仿宋_GB2312"/>
          <w:sz w:val="24"/>
        </w:rPr>
        <w:t>按厂家数字资源验收标准</w:t>
      </w:r>
      <w:r>
        <w:rPr>
          <w:rFonts w:ascii="仿宋_GB2312" w:hAnsi="仿宋_GB2312" w:cs="仿宋_GB2312" w:eastAsia="仿宋_GB2312"/>
          <w:sz w:val="24"/>
        </w:rPr>
        <w:t>(符合国家或行业或地方标准)、招标文件、投标文件、合同等相关文件执行。验收结果应符合采购人使用要求。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验收程序</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初步验收：采购人（或采购人授权单位）在数字资源完成开通服务使用后，将按合同规定对数字资源进行清点、核对和测检，对数字资源基本数量与质量进行初步验收（但不作为最终合格的保证），该验收应达到合同规定的要求。初步验收不合格的，采购人有权选择退或换数字资源处理：选择换数字资源处理的，中标人需在收到换数字资源通知日起30天内交付合格的数字资源，逾期未处理的，将予以退掉，由此产生的费用和采购人的损失，由中标人承担。</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2最终验收：采购人收到验收请求后组织验收，验收合格后，签发验收单；验收不合格，采购人有权选择通知整改或退换数字资源处理：①选择通知整改处理的，中标人需在收到整改通知日起30天内完成整改，逾期未处理，将按退掉数字资源处理，由此产生的费用和采购人的损失，由中标人承担；②选择换数字资源处理的，中标人需在收到换数字资源通知日起30天内交付合格的数字资源，逾期未处理，将按退掉数字资源处理，由此产生的费用和采购人的损失，由中标人承担。</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3验收过程所发生的一切费用均由中标人承担。</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售后服务要求</w:t>
      </w:r>
      <w:r>
        <w:rPr>
          <w:rFonts w:ascii="仿宋_GB2312" w:hAnsi="仿宋_GB2312" w:cs="仿宋_GB2312" w:eastAsia="仿宋_GB2312"/>
          <w:sz w:val="24"/>
        </w:rPr>
        <w:t>（技术和服务要求中另有要求的以技术和服务要求中的要求为准）：</w:t>
      </w:r>
    </w:p>
    <w:p>
      <w:pPr>
        <w:pStyle w:val="null3"/>
        <w:ind w:right="165" w:firstLine="480"/>
        <w:jc w:val="both"/>
      </w:pPr>
      <w:r>
        <w:rPr>
          <w:rFonts w:ascii="仿宋_GB2312" w:hAnsi="仿宋_GB2312" w:cs="仿宋_GB2312" w:eastAsia="仿宋_GB2312"/>
          <w:sz w:val="24"/>
        </w:rPr>
        <w:t>1.中标人根据采购人的需求负责提供相关服务。</w:t>
      </w:r>
    </w:p>
    <w:p>
      <w:pPr>
        <w:pStyle w:val="null3"/>
        <w:ind w:right="165" w:firstLine="480"/>
        <w:jc w:val="both"/>
      </w:pPr>
      <w:r>
        <w:rPr>
          <w:rFonts w:ascii="仿宋_GB2312" w:hAnsi="仿宋_GB2312" w:cs="仿宋_GB2312" w:eastAsia="仿宋_GB2312"/>
          <w:sz w:val="24"/>
        </w:rPr>
        <w:t>2.中标人负责组织相关的产品数据信息、数据库软件、并负责产品的初始安装、调试、使用、培训。中标人应按照合同约定条款提供该产品数据和介质的及时更新服务，并在每年至少安排一次现场培训或其他推广活动，并对采购人举办的相关活动提供相应支持。中标人还需按采购人要求提交产品使用统计报表和评价报告。</w:t>
      </w:r>
    </w:p>
    <w:p>
      <w:pPr>
        <w:pStyle w:val="null3"/>
        <w:ind w:right="165" w:firstLine="480"/>
        <w:jc w:val="both"/>
      </w:pPr>
      <w:r>
        <w:rPr>
          <w:rFonts w:ascii="仿宋_GB2312" w:hAnsi="仿宋_GB2312" w:cs="仿宋_GB2312" w:eastAsia="仿宋_GB2312"/>
          <w:sz w:val="24"/>
        </w:rPr>
        <w:t>3.中标人须每季度回访一次，了解用户使用情况并解答疑难问题，负责产品合同期内的免费维护。</w:t>
      </w:r>
    </w:p>
    <w:p>
      <w:pPr>
        <w:pStyle w:val="null3"/>
        <w:ind w:right="165" w:firstLine="480"/>
        <w:jc w:val="both"/>
      </w:pPr>
      <w:r>
        <w:rPr>
          <w:rFonts w:ascii="仿宋_GB2312" w:hAnsi="仿宋_GB2312" w:cs="仿宋_GB2312" w:eastAsia="仿宋_GB2312"/>
          <w:sz w:val="24"/>
        </w:rPr>
        <w:t>4.网络咨询：为采购人提供国家法定工作日的8小时网络咨询服务（QQ、在线回复等形式），网络咨询即时响应；热线咨询：为采购人提供国家法定工作日的8小时热线咨询服务。热线咨询即时响应；邮件咨询：采购人咨询的邮件4小时内给予回复。并按时按期发送服务通讯给采购人。</w:t>
      </w:r>
    </w:p>
    <w:p>
      <w:pPr>
        <w:pStyle w:val="null3"/>
        <w:ind w:right="165" w:firstLine="480"/>
        <w:jc w:val="both"/>
      </w:pPr>
      <w:r>
        <w:rPr>
          <w:rFonts w:ascii="仿宋_GB2312" w:hAnsi="仿宋_GB2312" w:cs="仿宋_GB2312" w:eastAsia="仿宋_GB2312"/>
          <w:sz w:val="24"/>
        </w:rPr>
        <w:t>5.中标人负责向采购人提供网络、电话及EMAIL支持服务，响应时间不超过1小时，以保证数据库产品的正常使用；通过电话及数据库远程访问无法解决问题时，中标人技术工程师承诺24小时内到达现场进行技术维护，并在3天内解决。中标人承诺为采购人实现跨资源库统一检索提供技术支持。中标人应向采购人提供具体的售后负责人，具体的负责电话、负责邮件、负责QQ等联系方式，并在上述联系人或联系方式发生变化时及时通知采购人，通知时滞不超过变化后的一个工作日。</w:t>
      </w:r>
    </w:p>
    <w:p>
      <w:pPr>
        <w:pStyle w:val="null3"/>
        <w:ind w:right="165" w:firstLine="480"/>
        <w:jc w:val="both"/>
      </w:pPr>
      <w:r>
        <w:rPr>
          <w:rFonts w:ascii="仿宋_GB2312" w:hAnsi="仿宋_GB2312" w:cs="仿宋_GB2312" w:eastAsia="仿宋_GB2312"/>
          <w:sz w:val="24"/>
        </w:rPr>
        <w:t>6.中标人所提供的数据库必须遵守《中华人民共和国著作权法》，承诺不以任何方式侵犯著作者的知识产权，发生一切版权问题中标人要全权负责，如有第三方就中标人提供的数据库服务提起权利请求，中标人将负责解决并承担由此引发的一切法律和经济责任。</w:t>
      </w:r>
    </w:p>
    <w:p>
      <w:pPr>
        <w:pStyle w:val="null3"/>
        <w:ind w:right="165" w:firstLine="480"/>
        <w:jc w:val="both"/>
      </w:pPr>
      <w:r>
        <w:rPr>
          <w:rFonts w:ascii="仿宋_GB2312" w:hAnsi="仿宋_GB2312" w:cs="仿宋_GB2312" w:eastAsia="仿宋_GB2312"/>
          <w:sz w:val="24"/>
        </w:rPr>
        <w:t>7.中标人提供的数据库产品，中标人应同意采购人的合法用户可以通过采购人提供的远程访问系统和软件平台(包括现有平台及未来部署的平台)访问中标人提供的数据库产品的要求。</w:t>
      </w:r>
    </w:p>
    <w:p>
      <w:pPr>
        <w:pStyle w:val="null3"/>
        <w:ind w:right="165" w:firstLine="480"/>
        <w:jc w:val="both"/>
      </w:pPr>
      <w:r>
        <w:rPr>
          <w:rFonts w:ascii="仿宋_GB2312" w:hAnsi="仿宋_GB2312" w:cs="仿宋_GB2312" w:eastAsia="仿宋_GB2312"/>
          <w:sz w:val="24"/>
        </w:rPr>
        <w:t>8.中标人应保证采购人对所购货物或服务的完整使用权。数据库包库用户（远程）更新速度与中心网站一致，对镜像用户（本地）提供每月更新数据，更新方式以方便采购人的方式为最终选择。若由于中标人原因造成采购人不能及时更新信息内容，中标人应当在接到采购人通知后及时安排技术人员在五个工作日内予以解决，逾期不予解决的每影响一天，赔偿采购人合同额的百分之一作为补偿。</w:t>
      </w:r>
    </w:p>
    <w:p>
      <w:pPr>
        <w:pStyle w:val="null3"/>
        <w:ind w:right="165" w:firstLine="480"/>
        <w:jc w:val="both"/>
      </w:pPr>
      <w:r>
        <w:rPr>
          <w:rFonts w:ascii="仿宋_GB2312" w:hAnsi="仿宋_GB2312" w:cs="仿宋_GB2312" w:eastAsia="仿宋_GB2312"/>
          <w:sz w:val="24"/>
        </w:rPr>
        <w:t>9.所购数据库安装在采购人服务器上的（本地安装），如发生采购人数据丢失和损坏时，如果通过远程支持无法解决问题的，要在5个工作日内免费重新上门安装。中标人应保证采购人对所购货物产品的完整使用权。未经采购人许可，不得随意删改采购人服务器内的数据记录及软件等。</w:t>
      </w:r>
    </w:p>
    <w:p>
      <w:pPr>
        <w:pStyle w:val="null3"/>
        <w:ind w:right="165" w:firstLine="480"/>
        <w:jc w:val="both"/>
      </w:pPr>
      <w:r>
        <w:rPr>
          <w:rFonts w:ascii="仿宋_GB2312" w:hAnsi="仿宋_GB2312" w:cs="仿宋_GB2312" w:eastAsia="仿宋_GB2312"/>
          <w:sz w:val="24"/>
        </w:rPr>
        <w:t>10.在政府采购合同到期且未续约的情况下，采购人依然享有安装在本单位局域网中数据库产品及检索平台的使用权。</w:t>
      </w:r>
    </w:p>
    <w:p>
      <w:pPr>
        <w:pStyle w:val="null3"/>
        <w:ind w:right="165" w:firstLine="480"/>
        <w:jc w:val="both"/>
      </w:pPr>
      <w:r>
        <w:rPr>
          <w:rFonts w:ascii="仿宋_GB2312" w:hAnsi="仿宋_GB2312" w:cs="仿宋_GB2312" w:eastAsia="仿宋_GB2312"/>
          <w:sz w:val="24"/>
        </w:rPr>
        <w:t>11.针对实际操作过程中出现的问题和分歧，或其他未尽事宜，按采购人要求协商解决。</w:t>
      </w:r>
    </w:p>
    <w:p>
      <w:pPr>
        <w:pStyle w:val="null3"/>
        <w:ind w:right="165" w:firstLine="480"/>
        <w:jc w:val="both"/>
      </w:pPr>
      <w:r>
        <w:rPr>
          <w:rFonts w:ascii="仿宋_GB2312" w:hAnsi="仿宋_GB2312" w:cs="仿宋_GB2312" w:eastAsia="仿宋_GB2312"/>
          <w:sz w:val="24"/>
        </w:rPr>
        <w:t>12.中标人在履行合同过程中，如果遇到不能按时交货和提供服务的情况，应及时以书面形式将不能按期履行合同的理由、延误的时间通知采购人。采购人在收到中标人通知后，应对情况进行分析、研究，以决定是否修改合同、酌情延长合同的履行时间，或终止合同。</w:t>
      </w:r>
    </w:p>
    <w:p>
      <w:pPr>
        <w:pStyle w:val="null3"/>
        <w:ind w:firstLine="480"/>
        <w:jc w:val="left"/>
      </w:pPr>
      <w:r>
        <w:rPr>
          <w:rFonts w:ascii="仿宋_GB2312" w:hAnsi="仿宋_GB2312" w:cs="仿宋_GB2312" w:eastAsia="仿宋_GB2312"/>
          <w:sz w:val="24"/>
        </w:rPr>
        <w:t>13.中标人在履行合同过程中，若未经采购人许可，擅自删除采购人所购的服务数据，采购人可将被删除数据折成相应款项，从合同款项中扣除，如果合同款项不足以扣除，采购人保留进一步追究中标人违约责任的权利。</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违约责任</w:t>
      </w:r>
    </w:p>
    <w:p>
      <w:pPr>
        <w:pStyle w:val="null3"/>
        <w:ind w:right="165" w:firstLine="480"/>
        <w:jc w:val="left"/>
      </w:pPr>
      <w:r>
        <w:rPr>
          <w:rFonts w:ascii="仿宋_GB2312" w:hAnsi="仿宋_GB2312" w:cs="仿宋_GB2312" w:eastAsia="仿宋_GB2312"/>
          <w:sz w:val="24"/>
        </w:rPr>
        <w:t>1.采购人违约责任</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1）采购人无正当理由拒收</w:t>
      </w:r>
      <w:r>
        <w:rPr>
          <w:rFonts w:ascii="仿宋_GB2312" w:hAnsi="仿宋_GB2312" w:cs="仿宋_GB2312" w:eastAsia="仿宋_GB2312"/>
          <w:sz w:val="24"/>
        </w:rPr>
        <w:t>中标人</w:t>
      </w:r>
      <w:r>
        <w:rPr>
          <w:rFonts w:ascii="仿宋_GB2312" w:hAnsi="仿宋_GB2312" w:cs="仿宋_GB2312" w:eastAsia="仿宋_GB2312"/>
          <w:sz w:val="24"/>
        </w:rPr>
        <w:t>交付的合格产品的，采购人向</w:t>
      </w:r>
      <w:r>
        <w:rPr>
          <w:rFonts w:ascii="仿宋_GB2312" w:hAnsi="仿宋_GB2312" w:cs="仿宋_GB2312" w:eastAsia="仿宋_GB2312"/>
          <w:sz w:val="24"/>
        </w:rPr>
        <w:t>中标人</w:t>
      </w:r>
      <w:r>
        <w:rPr>
          <w:rFonts w:ascii="仿宋_GB2312" w:hAnsi="仿宋_GB2312" w:cs="仿宋_GB2312" w:eastAsia="仿宋_GB2312"/>
          <w:sz w:val="24"/>
        </w:rPr>
        <w:t>偿付拒收货款总值</w:t>
      </w:r>
      <w:r>
        <w:rPr>
          <w:rFonts w:ascii="仿宋_GB2312" w:hAnsi="仿宋_GB2312" w:cs="仿宋_GB2312" w:eastAsia="仿宋_GB2312"/>
          <w:sz w:val="24"/>
        </w:rPr>
        <w:t>1%的违约金</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2）采购人无故逾期验收和办理合同款项支付手续的,采购人应按逾期付款总额每日万分之四向</w:t>
      </w:r>
      <w:r>
        <w:rPr>
          <w:rFonts w:ascii="仿宋_GB2312" w:hAnsi="仿宋_GB2312" w:cs="仿宋_GB2312" w:eastAsia="仿宋_GB2312"/>
          <w:sz w:val="24"/>
        </w:rPr>
        <w:t>中标人</w:t>
      </w:r>
      <w:r>
        <w:rPr>
          <w:rFonts w:ascii="仿宋_GB2312" w:hAnsi="仿宋_GB2312" w:cs="仿宋_GB2312" w:eastAsia="仿宋_GB2312"/>
          <w:sz w:val="24"/>
        </w:rPr>
        <w:t>支付违约金。</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3）其他违约情形：/。</w:t>
      </w:r>
    </w:p>
    <w:p>
      <w:pPr>
        <w:pStyle w:val="null3"/>
        <w:ind w:right="165" w:firstLine="480"/>
        <w:jc w:val="left"/>
      </w:pPr>
      <w:r>
        <w:rPr>
          <w:rFonts w:ascii="仿宋_GB2312" w:hAnsi="仿宋_GB2312" w:cs="仿宋_GB2312" w:eastAsia="仿宋_GB2312"/>
          <w:sz w:val="24"/>
        </w:rPr>
        <w:t>2.</w:t>
      </w:r>
      <w:r>
        <w:rPr>
          <w:rFonts w:ascii="仿宋_GB2312" w:hAnsi="仿宋_GB2312" w:cs="仿宋_GB2312" w:eastAsia="仿宋_GB2312"/>
          <w:sz w:val="24"/>
        </w:rPr>
        <w:t>中标人</w:t>
      </w:r>
      <w:r>
        <w:rPr>
          <w:rFonts w:ascii="仿宋_GB2312" w:hAnsi="仿宋_GB2312" w:cs="仿宋_GB2312" w:eastAsia="仿宋_GB2312"/>
          <w:sz w:val="24"/>
        </w:rPr>
        <w:t>违约责任</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逾期履行服务的，</w:t>
      </w:r>
      <w:r>
        <w:rPr>
          <w:rFonts w:ascii="仿宋_GB2312" w:hAnsi="仿宋_GB2312" w:cs="仿宋_GB2312" w:eastAsia="仿宋_GB2312"/>
          <w:sz w:val="24"/>
        </w:rPr>
        <w:t>中标人</w:t>
      </w:r>
      <w:r>
        <w:rPr>
          <w:rFonts w:ascii="仿宋_GB2312" w:hAnsi="仿宋_GB2312" w:cs="仿宋_GB2312" w:eastAsia="仿宋_GB2312"/>
          <w:sz w:val="24"/>
        </w:rPr>
        <w:t>应按逾期交付总额每日万分之四向采购人支付违约金，由采购人从待付货款中扣除。</w:t>
      </w:r>
      <w:r>
        <w:rPr>
          <w:rFonts w:ascii="仿宋_GB2312" w:hAnsi="仿宋_GB2312" w:cs="仿宋_GB2312" w:eastAsia="仿宋_GB2312"/>
          <w:sz w:val="24"/>
        </w:rPr>
        <w:t>中标人</w:t>
      </w:r>
      <w:r>
        <w:rPr>
          <w:rFonts w:ascii="仿宋_GB2312" w:hAnsi="仿宋_GB2312" w:cs="仿宋_GB2312" w:eastAsia="仿宋_GB2312"/>
          <w:sz w:val="24"/>
        </w:rPr>
        <w:t>无正当理由逾期超过约定日期</w:t>
      </w:r>
      <w:r>
        <w:rPr>
          <w:rFonts w:ascii="仿宋_GB2312" w:hAnsi="仿宋_GB2312" w:cs="仿宋_GB2312" w:eastAsia="仿宋_GB2312"/>
          <w:sz w:val="24"/>
        </w:rPr>
        <w:t>3天以上仍不能交付的，视为“</w:t>
      </w:r>
      <w:r>
        <w:rPr>
          <w:rFonts w:ascii="仿宋_GB2312" w:hAnsi="仿宋_GB2312" w:cs="仿宋_GB2312" w:eastAsia="仿宋_GB2312"/>
          <w:sz w:val="24"/>
        </w:rPr>
        <w:t>中标人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中标人</w:t>
      </w:r>
      <w:r>
        <w:rPr>
          <w:rFonts w:ascii="仿宋_GB2312" w:hAnsi="仿宋_GB2312" w:cs="仿宋_GB2312" w:eastAsia="仿宋_GB2312"/>
          <w:sz w:val="24"/>
        </w:rPr>
        <w:t>所交付的产品不符合合同规定及《采购文件》规定标准的，采购人有权拒收，</w:t>
      </w:r>
      <w:r>
        <w:rPr>
          <w:rFonts w:ascii="仿宋_GB2312" w:hAnsi="仿宋_GB2312" w:cs="仿宋_GB2312" w:eastAsia="仿宋_GB2312"/>
          <w:sz w:val="24"/>
        </w:rPr>
        <w:t>中标人</w:t>
      </w:r>
      <w:r>
        <w:rPr>
          <w:rFonts w:ascii="仿宋_GB2312" w:hAnsi="仿宋_GB2312" w:cs="仿宋_GB2312" w:eastAsia="仿宋_GB2312"/>
          <w:sz w:val="24"/>
        </w:rPr>
        <w:t>愿意更换产品但逾期交货的，按</w:t>
      </w:r>
      <w:r>
        <w:rPr>
          <w:rFonts w:ascii="仿宋_GB2312" w:hAnsi="仿宋_GB2312" w:cs="仿宋_GB2312" w:eastAsia="仿宋_GB2312"/>
          <w:sz w:val="24"/>
        </w:rPr>
        <w:t>中标人</w:t>
      </w:r>
      <w:r>
        <w:rPr>
          <w:rFonts w:ascii="仿宋_GB2312" w:hAnsi="仿宋_GB2312" w:cs="仿宋_GB2312" w:eastAsia="仿宋_GB2312"/>
          <w:sz w:val="24"/>
        </w:rPr>
        <w:t>逾期交货处理。</w:t>
      </w:r>
      <w:r>
        <w:rPr>
          <w:rFonts w:ascii="仿宋_GB2312" w:hAnsi="仿宋_GB2312" w:cs="仿宋_GB2312" w:eastAsia="仿宋_GB2312"/>
          <w:sz w:val="24"/>
        </w:rPr>
        <w:t>中标人</w:t>
      </w:r>
      <w:r>
        <w:rPr>
          <w:rFonts w:ascii="仿宋_GB2312" w:hAnsi="仿宋_GB2312" w:cs="仿宋_GB2312" w:eastAsia="仿宋_GB2312"/>
          <w:sz w:val="24"/>
        </w:rPr>
        <w:t>拒绝更换产品的，视为</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不按合同约定履约</w:t>
      </w:r>
      <w:r>
        <w:rPr>
          <w:rFonts w:ascii="仿宋_GB2312" w:hAnsi="仿宋_GB2312" w:cs="仿宋_GB2312" w:eastAsia="仿宋_GB2312"/>
          <w:sz w:val="24"/>
        </w:rPr>
        <w:t>”；</w:t>
      </w:r>
    </w:p>
    <w:p>
      <w:pPr>
        <w:pStyle w:val="null3"/>
        <w:ind w:right="165"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中标人</w:t>
      </w:r>
      <w:r>
        <w:rPr>
          <w:rFonts w:ascii="仿宋_GB2312" w:hAnsi="仿宋_GB2312" w:cs="仿宋_GB2312" w:eastAsia="仿宋_GB2312"/>
          <w:sz w:val="24"/>
        </w:rPr>
        <w:t>不按合同约定履约的，采购人可以解除采购合同，并对</w:t>
      </w:r>
      <w:r>
        <w:rPr>
          <w:rFonts w:ascii="仿宋_GB2312" w:hAnsi="仿宋_GB2312" w:cs="仿宋_GB2312" w:eastAsia="仿宋_GB2312"/>
          <w:sz w:val="24"/>
        </w:rPr>
        <w:t>中标人</w:t>
      </w:r>
      <w:r>
        <w:rPr>
          <w:rFonts w:ascii="仿宋_GB2312" w:hAnsi="仿宋_GB2312" w:cs="仿宋_GB2312" w:eastAsia="仿宋_GB2312"/>
          <w:sz w:val="24"/>
        </w:rPr>
        <w:t>已缴纳的履约保证金作</w:t>
      </w:r>
      <w:r>
        <w:rPr>
          <w:rFonts w:ascii="仿宋_GB2312" w:hAnsi="仿宋_GB2312" w:cs="仿宋_GB2312" w:eastAsia="仿宋_GB2312"/>
          <w:sz w:val="24"/>
        </w:rPr>
        <w:t>“不予退还”处理。同时，</w:t>
      </w:r>
      <w:r>
        <w:rPr>
          <w:rFonts w:ascii="仿宋_GB2312" w:hAnsi="仿宋_GB2312" w:cs="仿宋_GB2312" w:eastAsia="仿宋_GB2312"/>
          <w:sz w:val="24"/>
        </w:rPr>
        <w:t>中标人</w:t>
      </w:r>
      <w:r>
        <w:rPr>
          <w:rFonts w:ascii="仿宋_GB2312" w:hAnsi="仿宋_GB2312" w:cs="仿宋_GB2312" w:eastAsia="仿宋_GB2312"/>
          <w:sz w:val="24"/>
        </w:rPr>
        <w:t>还须按向采购人支付违约金：合同总价</w:t>
      </w:r>
      <w:r>
        <w:rPr>
          <w:rFonts w:ascii="仿宋_GB2312" w:hAnsi="仿宋_GB2312" w:cs="仿宋_GB2312" w:eastAsia="仿宋_GB2312"/>
          <w:sz w:val="24"/>
        </w:rPr>
        <w:t>30%的违约金。</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投标人须保障采购人在使用该货物或其任何一部分时不受到任何第三方关于侵犯著作权、专利权、商标权或工业设计权等知识产权的诉讼、仲裁等指控。如果任何第三方提出侵权指控与采购人无关，投标人须与第三方交涉并承担可能发生的责任与一切费用。如采购人因此而遭致损失的，投标人应赔偿该损失。</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仲裁、诉讼条款</w:t>
      </w:r>
    </w:p>
    <w:p>
      <w:pPr>
        <w:pStyle w:val="null3"/>
        <w:ind w:firstLine="480"/>
        <w:jc w:val="both"/>
      </w:pPr>
      <w:r>
        <w:rPr>
          <w:rFonts w:ascii="仿宋_GB2312" w:hAnsi="仿宋_GB2312" w:cs="仿宋_GB2312" w:eastAsia="仿宋_GB2312"/>
          <w:sz w:val="24"/>
        </w:rPr>
        <w:t>因采购或与采购合同有关的一切事项发生争议，由采购人和中标人双方友好协商解决。协商不成的，任何一方均可选择以下方式解决：</w:t>
      </w:r>
    </w:p>
    <w:p>
      <w:pPr>
        <w:pStyle w:val="null3"/>
        <w:ind w:firstLine="480"/>
        <w:jc w:val="both"/>
      </w:pPr>
      <w:r>
        <w:rPr>
          <w:rFonts w:ascii="仿宋_GB2312" w:hAnsi="仿宋_GB2312" w:cs="仿宋_GB2312" w:eastAsia="仿宋_GB2312"/>
          <w:sz w:val="24"/>
        </w:rPr>
        <w:t>向采购人所在地人民法院提起诉讼。</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不允许中标人以任何名义和理由在中标后将成交项目的主体、非主体、关键性工作、非关键性工作进行转包、分包，在履行合同过程中如有发现，采购人有权单方终止合同。视为中标人违约，中标人违约对采购人造成的损失的，需另行支付相应的赔偿，并追究相关法律责任。2.2本招标文件未明确的其它约定事项或条款，待采购人与中标人签订合同时，由双方协商订立。2.3凡参与政府采购并依法取得政府采购合同的投标人，均可使用政府采购合同向福建省政府采购网发布的政府采购合同融资业务信息的银行业金融机构申请融资，可在“政采贷”模块进行具体操作。企业申请所需提交的材料可登录“福建省政府采购网”查询。 融资主要条件:①担保条件:除法定代表人或实际控制人担保外，如融资金额未超过政府采购合同金额的，银行不要求企业供应商提供财产抵质押或第三方担保，或附加其他担保条件。②专用账户:当银行同意授信后，企业供 应 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[350501]ZYT[GK]2025002-1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1(学术大数据智能分析检索平台)</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学术大数据智能分析检索平台</w:t>
            </w:r>
          </w:p>
        </w:tc>
        <w:tc>
          <w:tcPr>
            <w:tcW w:type="dxa" w:w="1661"/>
          </w:tcPr>
          <w:p>
            <w:pPr>
              <w:pStyle w:val="null3"/>
              <w:jc w:val="left"/>
            </w:pPr>
            <w:r>
              <w:rPr>
                <w:rFonts w:ascii="仿宋_GB2312" w:hAnsi="仿宋_GB2312" w:cs="仿宋_GB2312" w:eastAsia="仿宋_GB2312"/>
              </w:rPr>
              <w:t xml:space="preserve"> 3860000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[350501]ZYT[GK]2025002-1</w:t>
      </w:r>
    </w:p>
    <w:p>
      <w:pPr>
        <w:pStyle w:val="null3"/>
        <w:jc w:val="left"/>
      </w:pPr>
      <w:r>
        <w:rPr>
          <w:rFonts w:ascii="仿宋_GB2312" w:hAnsi="仿宋_GB2312" w:cs="仿宋_GB2312" w:eastAsia="仿宋_GB2312"/>
        </w:rPr>
        <w:t>项目名称：</w:t>
      </w:r>
      <w:r>
        <w:rPr>
          <w:rFonts w:ascii="仿宋_GB2312" w:hAnsi="仿宋_GB2312" w:cs="仿宋_GB2312" w:eastAsia="仿宋_GB2312"/>
        </w:rPr>
        <w:t>泉州师范学院图书馆2025年数字资源采购项目(二次)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学术大数据智能分析检索平台</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学术大数据智能分析检索平台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学术大数据智能分析检索平台</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3860000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