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泉州师范学院2025年2022级软件工程专业实训实习服务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CGXM-2025-350501-01529[2025]01650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[350501]ZYT[CS]2025001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泉州师范学院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福建省中亿通招标咨询有限公司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泉州师范学院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泉州师范学院2025年2022级软件工程专业实训实习服务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泉州师范学院2025年2022级软件工程专业实训实习服务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CGXM-2025-350501-01529[2025]01650</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[350501]ZYT[CS]2025001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2022级软件工程专业实训实习服务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2022级软件工程专业实训实习服务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2022级软件工程专业实训实习服务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2022级软件工程专业实训实习服务</w:t>
            </w:r>
          </w:p>
        </w:tc>
        <w:tc>
          <w:tcPr>
            <w:tcW w:type="dxa" w:w="2076"/>
          </w:tcPr>
          <w:p>
            <w:pPr>
              <w:pStyle w:val="null3"/>
              <w:jc w:val="left"/>
            </w:pPr>
            <w:r>
              <w:rPr>
                <w:rFonts w:ascii="仿宋_GB2312" w:hAnsi="仿宋_GB2312" w:cs="仿宋_GB2312" w:eastAsia="仿宋_GB2312"/>
              </w:rPr>
              <w:t>2022级软件工程专业实训实习服务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①本项目采购包1专门面向符合财政部、工信部文件（财库〔2020〕46号）规定的中、小、微企业采购。供应商须提供《中小企业声明函》。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磋商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本项目为服务类采购项目，采购标的对应的中小企业划分标准所属行业为“其他未列明行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泉州师范学院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泉州市丰泽区东海大街398号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苏颖聪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0595-22919532</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福建省中亿通招标咨询有限公司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福州市鼓楼区洪山镇工业路东侧、福三路北侧洪山园地块华润万象城（三期）S11#楼19层10-13办公、15-17办公</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黄静、陈宇、林庆贺、郭梅芳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0591-87527653/17759018209</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福建省中亿通招标咨询有限公司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①本项目采购包1专门面向符合财政部、工信部文件（财库〔2020〕46号）规定的中、小、微企业采购。供应商须提供《中小企业声明函》。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磋商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本项目为服务类采购项目，采购标的对应的中小企业划分标准所属行业为“其他未列明行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泉州市财政局政府采购监督管理办公室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代理服务费收费标准：①以成交通知书规定的成交金额作为收费的计算基数。 ②代理服务收费的标准：成交金额100万元（含）以下按按成交金额的1.5%。③成交供应商应在领取成交通知书的同时以银行转账的付款方式一次性向采购代理机构缴纳代理服务费。④代理服务费缴交账号：开户名：福建省中亿通招标咨询有限公司泉州分公司，开户行：中国民生银行股份有限公司福州广达支行，账号：650011302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2.1接收质疑函的方式、联系部门、联系电话和通讯地址： 1)接收质疑函原件的方式：书面方式； 2)接收质疑函的联系部门：福建省中亿通招标咨询有限公司-招标部； 3)接收质疑函的联系电话：0591-87527653/17759018209；(4)接收质疑函的通讯地址：福建省中亿通招标咨询有限公司（福建省福州市鼓楼区洪山镇工业路东侧、福三路北侧洪山园地块华润万象城（三期）S11#楼1910）。2.2质疑受理的其它要求：a.质疑人递交质疑函时还应出具质疑人福建省政府采购网上公开信息系统上获取磋商文件的证明文件(体现查看时间或获取磋商文件时间)。【查看时间或获取磋商文件时间以福建省政府采购网上公开信息系统记载为准。】。b.在法定质疑期内供应商须一次性提出针对同一采购程序环节的质疑，若供应商多次对同一采购程序环节提出质疑的，采购代理机构将不予以受理。2.3供应商的澄清、说明或更正应当采用书面形式，由其单位负责人或其授权代表签字，前述澄清、说明或更正不得超出响应文件的范围或改变响应文件的实质性内容。若供应商未按前述规定向磋商小组提交书面澄清、说明或更正，则磋商小组将按照不利于供应商的内容进行认定。2.4关于报价计算错误修正的原则 ①报价一览表内容与分项报价表内容不一致的，以报价一览表为准； ②大写金额和小写金额不一致的，以大写金额为准； ③单价金额小数点或百分比有明显错位的，以报价一览表的总价为准，并修改单价。 ④总价金额与按单价汇总金额不一致的，以单价金额计算结果为准； ※同时出现两种以上不一致的，按照前款规定的顺序修正。若磋商小组按照上述规定修正，则相应供应商应予接受且修正后的报价对其起约束作用。若供应商不接受修正或未按照磋商小组的要求提交修正后的报价确认意见，则视为该供应商未实质性响应竞争性磋商文件要求，其响应无效。2.5本项目按照评审得分由高到低顺序推荐3名成交候选供应商。</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自成交通知书发出之日起30个日历日内。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①供应商应在提交首次响应文件截止时间前按照福建省政府采购网上公开信息系统设定的操作流程将电子响应文件上传至福建省政府采购网上公开信息系统，否则响应文件将被拒收。 ②磋商文件关于供应商串通投标情形条款详见《关于福建省财政厅关于电子化政府采购项目中视为串标情形认定与处理的指导意见》闽财购〔2018〕30号文件规定。 ③本项目供应商可以选择携带CA证书到开标现场进行解密或选择远程开标。远程开标：a.若供应商选择远程开标，应远程线上解密(相关操作手册可查看福建省政府采购网首页操作指南)。供应商选择远程线上解密的，无需将CA证书送至开标地点。若供应商选择携带CA证书到开标地点由代理机构进行解密的，应在开标当天首次响应文件递交截止时间前将CA证书送至开标地点，否则不予接收。b.供应商不到开标现场的，请在开标时自行登录采购系统，线上参与开标流程，并按规定在相应时段对响应文件进行远程解密、远程签章(远程解密时限为30分钟、远程签章时限为10分钟)。 c.供应商应确保自身设施、设备、网络环境状况良好，在操作过程中因供应商自身原因造成无法正常观看开标流程、远程解密或签章的，后果由供应商自行承担。d.在规定的时间内正确提交电子响应文件的供应商在开标时将由系统判定签到情况，供应商应在远程解密开启后在规定时间内使用CA数字证书进行响应文件的解密操作，逾期未解密的视为放弃投标。e.开标结束后，供应商应当对开标结果进行签章，并在远程签章开放后的规定时间内完成，逾期未签章的视为认同开标结果。f.远程解密及远程签章的开放起始时间均在开标过程中临时开启，请供应商务必密切关注实时开标流程，并根据流程在系统内按时操作，否则产生的后果由供应商自行承担。 ★④磋商结束后，供应商需登录福建省政府采购网后台提交最后报价(最后报价需加盖供应商CA章)，且提交最后报价有时间限制。供应商需规定时间内提交最后报价，否则视为无效响应。 ⑤友情提示：建议各潜在供应商携带已下载CA控件的笔记本电脑至开标地点进行最后报价。</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1.技术要求响应情况</w:t>
            </w:r>
          </w:p>
        </w:tc>
        <w:tc>
          <w:tcPr>
            <w:tcW w:type="dxa" w:w="831"/>
          </w:tcPr>
          <w:p>
            <w:pPr>
              <w:pStyle w:val="null3"/>
              <w:jc w:val="right"/>
            </w:pPr>
            <w:r>
              <w:rPr>
                <w:rFonts w:ascii="仿宋_GB2312" w:hAnsi="仿宋_GB2312" w:cs="仿宋_GB2312" w:eastAsia="仿宋_GB2312"/>
              </w:rPr>
              <w:t>16.00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根据供应商对《磋商文件》“第三章 采购内容及要求 二、技术要求”中标注“★”和“■”的各项要求响应情况，由评委进行评分：全部满足磋商文件要求的得16分。①标注“★”的内容为关键性技术条款（共3项），每负偏离或不响应一项视为无效投标；②标注“■”的内容为重要技术条款项（共10项），每负偏离一项1.6扣分；③正偏离不加分。 注：磋商文件中技术指要求若有要求提供相应佐证材料的，未提供相应佐证材料或者供应商的响应承诺与其佐证材料不一致的，磋商小组将以不利于供应商的内容为准进行评审（负偏离）。多个技术指标标有同一项号或者同一项号有多个技术指标的，无论负偏离几个，均按照一项负偏离对应分值进行扣分。</w:t>
            </w:r>
          </w:p>
        </w:tc>
      </w:tr>
      <w:tr>
        <w:tc>
          <w:tcPr>
            <w:tcW w:type="dxa" w:w="3322"/>
          </w:tcPr>
          <w:p>
            <w:pPr>
              <w:pStyle w:val="null3"/>
              <w:jc w:val="left"/>
            </w:pPr>
            <w:r>
              <w:rPr>
                <w:rFonts w:ascii="仿宋_GB2312" w:hAnsi="仿宋_GB2312" w:cs="仿宋_GB2312" w:eastAsia="仿宋_GB2312"/>
              </w:rPr>
              <w:t>2.技术要求响应情况</w:t>
            </w:r>
          </w:p>
        </w:tc>
        <w:tc>
          <w:tcPr>
            <w:tcW w:type="dxa" w:w="831"/>
          </w:tcPr>
          <w:p>
            <w:pPr>
              <w:pStyle w:val="null3"/>
              <w:jc w:val="right"/>
            </w:pPr>
            <w:r>
              <w:rPr>
                <w:rFonts w:ascii="仿宋_GB2312" w:hAnsi="仿宋_GB2312" w:cs="仿宋_GB2312" w:eastAsia="仿宋_GB2312"/>
              </w:rPr>
              <w:t>10.00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根据供应商对《磋商文件》“第三章 采购内容及要求 二、技术要求”中未作标注的各项要求响应情况，由评委进行评分：全部满足磋商文件要求的得10分。①未作标注的内容（共20项），每负偏离一项扣0.5分；②正偏离不加分。 注：磋商文件中技术指要求若有要求提供相应佐证材料的，未提供相应佐证材料或者供应商的响应承诺与其佐证材料不一致的，磋商小组将以不利于供应商的内容为准进行评审（负偏离）。多个技术指标标有同一项号或者同一项号有多个技术指标的，无论负偏离几个，均按照一项负偏离对应分值进行扣分。</w:t>
            </w:r>
          </w:p>
        </w:tc>
      </w:tr>
      <w:tr>
        <w:tc>
          <w:tcPr>
            <w:tcW w:type="dxa" w:w="3322"/>
          </w:tcPr>
          <w:p>
            <w:pPr>
              <w:pStyle w:val="null3"/>
              <w:jc w:val="left"/>
            </w:pPr>
            <w:r>
              <w:rPr>
                <w:rFonts w:ascii="仿宋_GB2312" w:hAnsi="仿宋_GB2312" w:cs="仿宋_GB2312" w:eastAsia="仿宋_GB2312"/>
              </w:rPr>
              <w:t>3.软件开发方向教学大纲与授课计划及案例资源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根据供应商针对软件开发方向提供《课程实训5》、《软件工程综合实训》两门课程的教学大纲与授课计划（其中《软件工程综合实训》至少提供一个综合案例，提供完整案例资源（示例），由评委进行评分： ①授课计划内容全面、课时安排合理、可行性强；教学目标、教学内容与教学过程设计浑然一体、系统性强、条理清晰、对实训方向能力培养提出针对性措施，培养的人才能够适应社会经济和科学技术发展及行业岗位需求的得3分； ②授课计划内容全面、课时安排合理；教学目标、教学内容与教学过程设计有一定的条理性，对实训方向能力培养有提出针对性措施，但措施方案不够具体或实操性不足，经评委评议基本能够适应社会经济和科学技术发展及行业岗位需求的得2.9分； ③仅提供教学大纲与授课计划，内容不够完善，或计划安排缺乏合理性，或实操性不足的得2.8分。 ④未提供或不符合项目要求的不得分。 （注：需提供实践任务书、实验手册、项目指导书，源代码，相关数据库或数据集截图佐证，否则不得分。）</w:t>
            </w:r>
          </w:p>
        </w:tc>
      </w:tr>
      <w:tr>
        <w:tc>
          <w:tcPr>
            <w:tcW w:type="dxa" w:w="3322"/>
          </w:tcPr>
          <w:p>
            <w:pPr>
              <w:pStyle w:val="null3"/>
              <w:jc w:val="left"/>
            </w:pPr>
            <w:r>
              <w:rPr>
                <w:rFonts w:ascii="仿宋_GB2312" w:hAnsi="仿宋_GB2312" w:cs="仿宋_GB2312" w:eastAsia="仿宋_GB2312"/>
              </w:rPr>
              <w:t>4.虚拟现实方向教学大纲与授课计划及案例资源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根据供应商针对虚拟现实方向提供《课程实训5》、《软件工程综合实训》两门课程的教学大纲与授课计划（其中《软件工程综合实训》至少提供一个综合案例，提供完整案例资源（示例），由评委进行评分： ①授课计划内容全面、课时安排合理、可行性强；教学目标、教学内容与教学过程设计浑然一体、系统性强、条理清晰、对实训方向能力培养提出针对性措施，培养的人才能够适应社会经济和科学技术发展及行业岗位需求的得3分； ②授课计划内容全面、课时安排合理；教学目标、教学内容与教学过程设计有一定的条理性，对实训方向能力培养有提出针对性措施，但措施方案不够具体或实操性不足，但基本能够适应社会经济和科学技术发展及行业岗位需求的得2.9分； ③仅提供教学大纲与授课计划，内容不够完善，或计划安排缺乏合理性，或实操性不足的得2.8分。 ④未提供或不符合项目要求的不得分。 （注：需提供实践任务书、实验手册、项目指导书，源代码，相关数据库或数据集截图佐证，否则不得分。）</w:t>
            </w:r>
          </w:p>
        </w:tc>
      </w:tr>
      <w:tr>
        <w:tc>
          <w:tcPr>
            <w:tcW w:type="dxa" w:w="3322"/>
          </w:tcPr>
          <w:p>
            <w:pPr>
              <w:pStyle w:val="null3"/>
              <w:jc w:val="left"/>
            </w:pPr>
            <w:r>
              <w:rPr>
                <w:rFonts w:ascii="仿宋_GB2312" w:hAnsi="仿宋_GB2312" w:cs="仿宋_GB2312" w:eastAsia="仿宋_GB2312"/>
              </w:rPr>
              <w:t>5.软件开发方向特色化教学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根据供应商提供的软件开发方向特色化教学资料，包括但不限于鸿蒙、云原生软件开发案例及案例实训手册（需提供案例及案例实训手册截图佐证），由评委进行评分： ①特色化教学资料内容全面、课时安排合理、可行性强；教学目标、教学内容与教学过程设计浑然一体、系统性强、条理清晰、对实训方向能力培养提出针对性措施，培养的人才能够适应社会经济和科学技术发展及行业岗位需求的得3分； ②特色化教学资料内容全面、课时安排合理；教学目标、教学内容与教学过程设计有一定的条理性，对实训方向能力培养有提出针对性措施，但措施方案不够具体或实操性不足，但基本能够适应社会经济和科学技术发展及行业岗位需求的得2.9分； ③仅提供教学大纲与授课计划，内容不够完善，或计划安排缺乏合理性，或实操性不足的得2.8分。 ④未提供或不符合项目要求的不得分。</w:t>
            </w:r>
          </w:p>
        </w:tc>
      </w:tr>
      <w:tr>
        <w:tc>
          <w:tcPr>
            <w:tcW w:type="dxa" w:w="3322"/>
          </w:tcPr>
          <w:p>
            <w:pPr>
              <w:pStyle w:val="null3"/>
              <w:jc w:val="left"/>
            </w:pPr>
            <w:r>
              <w:rPr>
                <w:rFonts w:ascii="仿宋_GB2312" w:hAnsi="仿宋_GB2312" w:cs="仿宋_GB2312" w:eastAsia="仿宋_GB2312"/>
              </w:rPr>
              <w:t>6.虚拟现实方向特色化教学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根据供应商提供的虚拟现实开发方向特色化教学资料，包括但不限于元宇宙虚拟场景案例及详细的案例实训手册（需提供案例及案例实训手册截图佐证），由评委进行评分： ①特色化教学资料内容全面、课时安排合理、可行性强；教学目标、教学内容与教学过程设计浑然一体、系统性强、条理清晰、对实训方向能力培养提出针对性措施，培养的人才能够适应社会经济和科学技术发展及行业岗位需求的得3分； ②特色化教学资料内容全面、课时安排合理；教学目标、教学内容与教学过程设计有一定的条理性，对实训方向能力培养有提出针对性措施，但措施方案不够具体或实操性不足，但基本能够适应社会经济和科学技术发展及行业岗位需求的得2.9分； ③仅提供教学大纲与授课计划，内容不够完善，或计划安排缺乏合理性，或实操性不足的得2.8分。 ④未提供或不符合项目要求的不得分。</w:t>
            </w:r>
          </w:p>
        </w:tc>
      </w:tr>
      <w:tr>
        <w:tc>
          <w:tcPr>
            <w:tcW w:type="dxa" w:w="3322"/>
          </w:tcPr>
          <w:p>
            <w:pPr>
              <w:pStyle w:val="null3"/>
              <w:jc w:val="left"/>
            </w:pPr>
            <w:r>
              <w:rPr>
                <w:rFonts w:ascii="仿宋_GB2312" w:hAnsi="仿宋_GB2312" w:cs="仿宋_GB2312" w:eastAsia="仿宋_GB2312"/>
              </w:rPr>
              <w:t>7.实训线上教学服务平台（1）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供应商拟投入本项目使用的专业线上教学服务平台及在线实训课程资源可支持教学中心、实验中心、实训中心、就业中心、AI服务等功能的得2分，满分2分。 注：须提供平台链接及配套软件著作权证书复印件、相关功能截图佐证，否则不得分。</w:t>
            </w:r>
          </w:p>
        </w:tc>
      </w:tr>
      <w:tr>
        <w:tc>
          <w:tcPr>
            <w:tcW w:type="dxa" w:w="3322"/>
          </w:tcPr>
          <w:p>
            <w:pPr>
              <w:pStyle w:val="null3"/>
              <w:jc w:val="left"/>
            </w:pPr>
            <w:r>
              <w:rPr>
                <w:rFonts w:ascii="仿宋_GB2312" w:hAnsi="仿宋_GB2312" w:cs="仿宋_GB2312" w:eastAsia="仿宋_GB2312"/>
              </w:rPr>
              <w:t>8.实训线上教学服务平台（2）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投入本项目使用的线上教学服务平台提供本次实训内容相关的拓展资源供学生选择性学习，包含鸿蒙应用程序设计、鸿蒙软件应用开发技术、信创环境下的Java应用开发与部署(RPC)等课程，教学资源类型包括但不限于教学视频、教学课件、实训案例等的得2分，满分2分。 注：须提供须提供平台链接及配套软件著作权证书复印件、相关截图佐证，否则不得分。</w:t>
            </w:r>
          </w:p>
        </w:tc>
      </w:tr>
      <w:tr>
        <w:tc>
          <w:tcPr>
            <w:tcW w:type="dxa" w:w="3322"/>
          </w:tcPr>
          <w:p>
            <w:pPr>
              <w:pStyle w:val="null3"/>
              <w:jc w:val="left"/>
            </w:pPr>
            <w:r>
              <w:rPr>
                <w:rFonts w:ascii="仿宋_GB2312" w:hAnsi="仿宋_GB2312" w:cs="仿宋_GB2312" w:eastAsia="仿宋_GB2312"/>
              </w:rPr>
              <w:t>9.实训线上教学服务平台演示（1）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根据供应商针对实训线上教学服务平台提供具备AI服务功能的演示情况，由评委进行评分： ①大模型管理：支持配置连接本地/在线API大模型； ②对话智能体：预置对话智能体的创建/编辑； ③编程训练：预置编程智能体的创建/编辑。演示可满足上述一项要求的得1分，满分3分，演示不满足相关要求或未演示的不得分。</w:t>
            </w:r>
          </w:p>
        </w:tc>
      </w:tr>
      <w:tr>
        <w:tc>
          <w:tcPr>
            <w:tcW w:type="dxa" w:w="3322"/>
          </w:tcPr>
          <w:p>
            <w:pPr>
              <w:pStyle w:val="null3"/>
              <w:jc w:val="left"/>
            </w:pPr>
            <w:r>
              <w:rPr>
                <w:rFonts w:ascii="仿宋_GB2312" w:hAnsi="仿宋_GB2312" w:cs="仿宋_GB2312" w:eastAsia="仿宋_GB2312"/>
              </w:rPr>
              <w:t>10.实训线上教学服务平台演示（2）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根据供应商针对实训线上教学服务平台的演示情况，由评委进行评分： ①知识考核：支持根据当前开课期次的课程内容（课件）自动生成知识图谱；并以测验题库自动为知识点生成自适应测验任务；支持独立测验题库管理；支持知识考核任务列表查看管理；支持根据班级进行学生知识考核结果数据分析展示； ②能力考核：支持根据当前开课期次的课程内容（考核任务）自动生成能力图谱；支持雷达图展示每个学生的能力考核结果，以及能力考核指标对应任务得分情况；支持根据班级进行学生能力考核结果数据分析展示。 演示可满足上述一项要求的得1.5分，满分3分，演示不满足相关要求或未演示的不得分。</w:t>
            </w:r>
          </w:p>
        </w:tc>
      </w:tr>
      <w:tr>
        <w:tc>
          <w:tcPr>
            <w:tcW w:type="dxa" w:w="3322"/>
          </w:tcPr>
          <w:p>
            <w:pPr>
              <w:pStyle w:val="null3"/>
              <w:jc w:val="left"/>
            </w:pPr>
            <w:r>
              <w:rPr>
                <w:rFonts w:ascii="仿宋_GB2312" w:hAnsi="仿宋_GB2312" w:cs="仿宋_GB2312" w:eastAsia="仿宋_GB2312"/>
              </w:rPr>
              <w:t>11.实训线上教学服务平台演示（3）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根据供应商针对实训线上教学服务平台的演示情况，由评委进行评分： ①支持通过学生平台学习行为，为学生生成个人的能力画像与知识画像，并支持对成长过程轨迹进行记录与展示； ②支持根据学生的能力画像与平台职业分类数据进行匹配，为学生展示相关职业分类的匹配度，并清晰呈现学生在各个对应能力上的达成情况； ③支持根据学生的平台学习行为自动为学生推荐可能喜欢的课程； 演示可满足上述一项要求的得1分，满分3分，演示不满足相关要求或未演示的不得分。</w:t>
            </w:r>
          </w:p>
        </w:tc>
      </w:tr>
      <w:tr>
        <w:tc>
          <w:tcPr>
            <w:tcW w:type="dxa" w:w="3322"/>
          </w:tcPr>
          <w:p>
            <w:pPr>
              <w:pStyle w:val="null3"/>
              <w:jc w:val="left"/>
            </w:pPr>
            <w:r>
              <w:rPr>
                <w:rFonts w:ascii="仿宋_GB2312" w:hAnsi="仿宋_GB2312" w:cs="仿宋_GB2312" w:eastAsia="仿宋_GB2312"/>
              </w:rPr>
              <w:t>12.软件开发方向实训成绩考核方案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供应商根据编制的教学大纲中的成绩考核要求，提供软件开发方向《课程实训5》、《软件工程综合实训》课程具体的成绩考核方案（方案中须至少提供按照工程教育认证的课程评分标准说明、课程设计总评分析表示例、成绩表示例），由评委进行评分： ①方案包含的要点齐全无缺漏项、内容与要点相符、每个要点均有展开详细的阐述且完全适用本项目的得3分； ②方案所包含的要点齐全、内容与要点相符、每个要点均有展开阐述且能够适用本项目的得2.9分； ③方案所包含的要点有缺漏、内容与要点相符但纲要、内容简略未展开阐述、基本适用本项目的得2.8分； ④未提供或内容存在明显错误、内容明显不适用于本项目需求的均不得分。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13.虚拟现实方向实训成绩考核方案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供应商根据编制的教学大纲中的成绩考核要求，提供虚拟现实方向《课程实训5》、《软件工程综合实训》课程具体的成绩考核方案（方案中须至少提供按照工程教育认证的课程评分标准说明、课程设计总评分析表示例、成绩表示例），由评委进行评分： ①方案包含的要点齐全无缺漏项、内容与要点相符、每个要点均有展开详细的阐述且完全适用本项目的得3分； ②方案所包含的要点齐全、内容与要点相符、每个要点均有展开阐述且能够适用本项目的得2.9分； ③方案所包含的要点有缺漏、内容与要点相符但纲要、内容简略未展开阐述、基本适用本项目的得2.8分； ④未提供或内容存在明显错误、内容明显不适用于本项目需求的均不得分。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14.项目实施方案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根据供应商提供的完整项目实施方案，包括但不限于项目实训管理说明、实训组织方式说明、实训项目阶段说明、实训结束提交清单说明等，由评委进行评分： ①方案包含的要点齐全无缺漏项、内容与要点相符、每个要点均有展开详细的阐述且完全适用本项目的得3分； ②方案所包含的要点齐全、内容与要点相符、每个要点均有展开阐述且能够适用本项目的得2.9分； ③方案所包含的要点有缺漏、内容与要点相符但纲要、内容简略未展开阐述、基本适用本项目的得2.8分； ④未提供或内容存在明显错误、内容明显不适用于本项目需求的均不得分。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15.质量保证措施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根据供应商提供的针对本项目的质量保证措施，包括但不限于实训质量控制流程、教学环境与秩序的保障等，由评委进行评分： ①方案包含的要点齐全无缺漏项、内容与要点相符、每个要点均有展开详细的阐述且完全适用本项目的得3分； ②方案所包含的要点齐全、内容与要点相符、每个要点均有展开阐述且能够适用本项目的得2.9分； ③方案所包含的要点有缺漏、内容与要点相符但纲要、内容简略未展开阐述、基本适用本项目的得2.8分； ④未提供或内容存在明显错误、内容明显不适用于本项目需求的均不得分。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16.实习推荐计划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根据供应商提供的针对本项目的实习推荐计划，包括但不限于实习周期与阶段安排、与专业的匹配度 等，由评委进行评分： ①方案包含的要点齐全无缺漏项、内容与要点相符、每个要点均有展开详细的阐述且完全适用本项目的得3分； ②方案所包含的要点齐全、内容与要点相符、每个要点均有展开阐述且能够适用本项目的得2.9分； ③方案所包含的要点有缺漏、内容与要点相符但纲要、内容简略未展开阐述、基本适用本项目的得2.8分； ④未提供或内容存在明显错误、内容明显不适用于本项目需求的均不得分。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17.实习监管计划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根据供应商提供的针对本项目的实习监管计划，包括但不限于监管目标与指标、过程监管机制、信息反馈与沟通渠道等，由评委进行评分： ①方案包含的要点齐全无缺漏项、内容与要点相符、每个要点均有展开详细的阐述且完全适用本项目的得3分； ②方案所包含的要点齐全、内容与要点相符、每个要点均有展开阐述且能够适用本项目的得2.9分； ③方案所包含的要点有缺漏、内容与要点相符但纲要、内容简略未展开阐述、基本适用本项目的得2.8分； ④未提供或内容存在明显错误、内容明显不适用于本项目需求的均不得分。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18.未获推荐实习单位同学现场实习方案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根据供应商提供的针对本项目的未获推荐实习单位同学现场实习方案，包括但不限于实习单位推荐、对口岗位简历设计、面试辅导与岗前适应性模拟指导等，由评委进行评分： ①方案包含的要点齐全无缺漏项、内容与要点相符、每个要点均有展开详细的阐述且完全适用本项目的得3分； ②方案所包含的要点齐全、内容与要点相符、每个要点均有展开阐述且能够适用本项目的得2.9分； ③方案所包含的要点有缺漏、内容与要点相符但纲要、内容简略未展开阐述、基本适用本项目的得2.8分； ④未提供或内容存在明显错误、内容明显不适用于本项目需求的均不得分。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19.实习成绩考核方案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根据供应商提供的针对本项目的实习成绩考核方案，包括但不限于考察阶段说明、考核评审成绩表、实训成绩表等，由评委进行评分： ①方案包含的要点齐全无缺漏项、内容与要点相符、每个要点均有展开详细的阐述且完全适用本项目的得3分； ②方案所包含的要点齐全、内容与要点相符、每个要点均有展开阐述且能够适用本项目的得2.9分； ③方案所包含的要点有缺漏、内容与要点相符但纲要、内容简略未展开阐述、基本适用本项目的得2.8分； ④未提供或内容存在明显错误、内容明显不适用于本项目需求的均不得分。</w:t>
            </w:r>
          </w:p>
        </w:tc>
      </w:tr>
    </w:tbl>
    <w:p>
      <w:pPr>
        <w:pStyle w:val="null3"/>
        <w:jc w:val="left"/>
      </w:pPr>
      <w:r>
        <w:rPr>
          <w:rFonts w:ascii="仿宋_GB2312" w:hAnsi="仿宋_GB2312" w:cs="仿宋_GB2312" w:eastAsia="仿宋_GB2312"/>
        </w:rPr>
        <w:t>商务部分评分PB 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1.教学负责人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为本次项目投入专门的教学负责人，具有IT类相关专业研究生或以上学位的得1分，具有人力资源和社会保障部备案的计算机类高级证书的得1分，具有在政府部门备案的工程教育认证专家的得1分，满分3分。 注：教学负责人不能与教学团队成员教师相同，须提供学位证明材料复印件、计算机类高级证书复印件、在政府部门备案的工程教育认证专家相关证明材料以及首次响应文件递交截止时间前6个月内任意1个月(不含首次响应文件递交截止时间当月）供应商为其缴纳的社保证明材料，否则不得分。</w:t>
            </w:r>
          </w:p>
        </w:tc>
      </w:tr>
      <w:tr>
        <w:tc>
          <w:tcPr>
            <w:tcW w:type="dxa" w:w="3322"/>
          </w:tcPr>
          <w:p>
            <w:pPr>
              <w:pStyle w:val="null3"/>
              <w:jc w:val="left"/>
            </w:pPr>
            <w:r>
              <w:rPr>
                <w:rFonts w:ascii="仿宋_GB2312" w:hAnsi="仿宋_GB2312" w:cs="仿宋_GB2312" w:eastAsia="仿宋_GB2312"/>
              </w:rPr>
              <w:t>2.教学团队成员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根据供应商拟投入的教学团队成员（教学负责人除外)，由评委进行评分：团队成员具有在人力资源和社会保障部备案的计算机类高级证书的,每提供1人得1分，满分3分。 注：须提供人员证书复印件和首次响应文件递交截止时间前6个月内任意1个月(不含首次响应文件递交截止时间当月）供应商为其缴纳的社保证明材料，否则不得分。</w:t>
            </w:r>
          </w:p>
        </w:tc>
      </w:tr>
      <w:tr>
        <w:tc>
          <w:tcPr>
            <w:tcW w:type="dxa" w:w="3322"/>
          </w:tcPr>
          <w:p>
            <w:pPr>
              <w:pStyle w:val="null3"/>
              <w:jc w:val="left"/>
            </w:pPr>
            <w:r>
              <w:rPr>
                <w:rFonts w:ascii="仿宋_GB2312" w:hAnsi="仿宋_GB2312" w:cs="仿宋_GB2312" w:eastAsia="仿宋_GB2312"/>
              </w:rPr>
              <w:t>3.业绩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根据供应商提供的自 2022年1月1日起至本项目首次响应文件递交截止时间止（以评价证明材料时间为准），所承接类似项目业绩的证明材料，由评委进行评分：每提供1份得1.5分，满分3分。 注：须提供合同复印件，未提供的不得分。</w:t>
            </w:r>
          </w:p>
        </w:tc>
      </w:tr>
      <w:tr>
        <w:tc>
          <w:tcPr>
            <w:tcW w:type="dxa" w:w="3322"/>
          </w:tcPr>
          <w:p>
            <w:pPr>
              <w:pStyle w:val="null3"/>
              <w:jc w:val="left"/>
            </w:pPr>
            <w:r>
              <w:rPr>
                <w:rFonts w:ascii="仿宋_GB2312" w:hAnsi="仿宋_GB2312" w:cs="仿宋_GB2312" w:eastAsia="仿宋_GB2312"/>
              </w:rPr>
              <w:t>4.综合实力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供应商具有丰富的信创人才认证与服务经验以具备保障项目实施的能力的得3分，满分3分。注：需提供承诺函（格式自拟），未提供或未按照要求进行承诺的均不得分。</w:t>
            </w:r>
          </w:p>
        </w:tc>
      </w:tr>
      <w:tr>
        <w:tc>
          <w:tcPr>
            <w:tcW w:type="dxa" w:w="3322"/>
          </w:tcPr>
          <w:p>
            <w:pPr>
              <w:pStyle w:val="null3"/>
              <w:jc w:val="left"/>
            </w:pPr>
            <w:r>
              <w:rPr>
                <w:rFonts w:ascii="仿宋_GB2312" w:hAnsi="仿宋_GB2312" w:cs="仿宋_GB2312" w:eastAsia="仿宋_GB2312"/>
              </w:rPr>
              <w:t>5.项目保密承诺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供应商承诺在服务期间所有接触的学生信息等将严格保密，禁止任何非授权披露、复制、传输或商业利用的得3分。本项须提供承诺函（格式自拟），未提供承诺函或未按照要求提供的，本项不得分。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不符合磋商文件中规定的其它实质性条款。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对磋商文件第三章“三、商务条件”中内容出现负偏离的，按无效响应处理。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采购项目概况：</w:t>
      </w:r>
      <w:r>
        <w:rPr>
          <w:rFonts w:ascii="仿宋_GB2312" w:hAnsi="仿宋_GB2312" w:cs="仿宋_GB2312" w:eastAsia="仿宋_GB2312"/>
          <w:sz w:val="24"/>
        </w:rPr>
        <w:t>2022级软件工程专业实训实习服务，完成2022级软件工程专业200名学生实践教学任务，包括8周企业实训；辅助毕业设计指导；8周实习指导；有限就业指导与就业推荐。</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采购的必要性：软件工程类人才培养需紧跟软件与互联网发展的步伐，采用科学教育和工程训练相结合的方式，要求学生具备扎实的理论知识和实践经验，学生前三年已经掌握了相关的理论知识并获取了部分实践经验，接受过一定的项目开发能力训练，但还缺乏实际企业项目的设计、开发和测试经历，因此需要系统性、实战性地掌握软件项目的需求分析与设计、开发过程、管理过程以及编码与测试，强化培养学生的工程化综合应用和实际项目开发能力。学院现有师资缺乏企业级项目开发实践经验，学院现有实验环境缺乏综合实训管理平台，实训项目资源，另外校园环境缺乏企业工作真实体验，无法让学生获得真实的软件项目开发体验，从而无法满足实训实习需求。本项目借鉴福建省内及省外高校软件工程专业校企合作的做法，拟通过校企合作，完成</w:t>
      </w:r>
      <w:r>
        <w:rPr>
          <w:rFonts w:ascii="仿宋_GB2312" w:hAnsi="仿宋_GB2312" w:cs="仿宋_GB2312" w:eastAsia="仿宋_GB2312"/>
          <w:sz w:val="24"/>
        </w:rPr>
        <w:t>2022级软件工程专业大四学年的实训实习等实践教学任务，同时辅助校内导师指导学生完成毕业设计及为学生提供就业指导及就业推荐服务。</w:t>
      </w:r>
    </w:p>
    <w:p>
      <w:pPr>
        <w:pStyle w:val="null3"/>
        <w:ind w:firstLine="480"/>
        <w:jc w:val="left"/>
      </w:pPr>
      <w:r>
        <w:rPr>
          <w:rFonts w:ascii="仿宋_GB2312" w:hAnsi="仿宋_GB2312" w:cs="仿宋_GB2312" w:eastAsia="仿宋_GB2312"/>
          <w:sz w:val="24"/>
        </w:rPr>
        <w:t>3.供应商的报价包含完成项目的一切费用。</w:t>
      </w:r>
    </w:p>
    <w:p>
      <w:pPr>
        <w:pStyle w:val="null3"/>
        <w:ind w:firstLine="480"/>
        <w:jc w:val="left"/>
      </w:pPr>
      <w:r>
        <w:rPr>
          <w:rFonts w:ascii="仿宋_GB2312" w:hAnsi="仿宋_GB2312" w:cs="仿宋_GB2312" w:eastAsia="仿宋_GB2312"/>
          <w:sz w:val="24"/>
        </w:rPr>
        <w:t>4.演示要求：</w:t>
      </w:r>
    </w:p>
    <w:p>
      <w:pPr>
        <w:pStyle w:val="null3"/>
        <w:ind w:firstLine="480"/>
        <w:jc w:val="left"/>
      </w:pPr>
      <w:r>
        <w:rPr>
          <w:rFonts w:ascii="仿宋_GB2312" w:hAnsi="仿宋_GB2312" w:cs="仿宋_GB2312" w:eastAsia="仿宋_GB2312"/>
          <w:sz w:val="24"/>
        </w:rPr>
        <w:t>4.1</w:t>
      </w:r>
      <w:r>
        <w:rPr>
          <w:rFonts w:ascii="仿宋_GB2312" w:hAnsi="仿宋_GB2312" w:cs="仿宋_GB2312" w:eastAsia="仿宋_GB2312"/>
          <w:sz w:val="24"/>
        </w:rPr>
        <w:t>供应商演示安排在项目开标当天进行，各供应商的演示时间不得超过</w:t>
      </w:r>
      <w:r>
        <w:rPr>
          <w:rFonts w:ascii="仿宋_GB2312" w:hAnsi="仿宋_GB2312" w:cs="仿宋_GB2312" w:eastAsia="仿宋_GB2312"/>
          <w:sz w:val="24"/>
        </w:rPr>
        <w:t>1</w:t>
      </w:r>
      <w:r>
        <w:rPr>
          <w:rFonts w:ascii="仿宋_GB2312" w:hAnsi="仿宋_GB2312" w:cs="仿宋_GB2312" w:eastAsia="仿宋_GB2312"/>
          <w:sz w:val="24"/>
        </w:rPr>
        <w:t>0分钟（（不包含连接设备等准备工作所需时间和评委提问时间）。供应商应采用系统功能原型进行现场演示，不得使用截图、PPT、Word、录屏等讲解演示，否则相应评分项不得分。</w:t>
      </w:r>
    </w:p>
    <w:p>
      <w:pPr>
        <w:pStyle w:val="null3"/>
        <w:ind w:firstLine="480"/>
        <w:jc w:val="left"/>
      </w:pPr>
      <w:r>
        <w:rPr>
          <w:rFonts w:ascii="仿宋_GB2312" w:hAnsi="仿宋_GB2312" w:cs="仿宋_GB2312" w:eastAsia="仿宋_GB2312"/>
          <w:sz w:val="24"/>
        </w:rPr>
        <w:t>4.2</w:t>
      </w:r>
      <w:r>
        <w:rPr>
          <w:rFonts w:ascii="仿宋_GB2312" w:hAnsi="仿宋_GB2312" w:cs="仿宋_GB2312" w:eastAsia="仿宋_GB2312"/>
          <w:sz w:val="24"/>
        </w:rPr>
        <w:t>供应商需自行携带演示所需的各种设备及软件，演示现场仅向供应商提供场所和电源。</w:t>
      </w:r>
    </w:p>
    <w:p>
      <w:pPr>
        <w:pStyle w:val="null3"/>
        <w:ind w:firstLine="480"/>
        <w:jc w:val="left"/>
      </w:pPr>
      <w:r>
        <w:rPr>
          <w:rFonts w:ascii="仿宋_GB2312" w:hAnsi="仿宋_GB2312" w:cs="仿宋_GB2312" w:eastAsia="仿宋_GB2312"/>
          <w:sz w:val="24"/>
        </w:rPr>
        <w:t>4.3</w:t>
      </w:r>
      <w:r>
        <w:rPr>
          <w:rFonts w:ascii="仿宋_GB2312" w:hAnsi="仿宋_GB2312" w:cs="仿宋_GB2312" w:eastAsia="仿宋_GB2312"/>
          <w:sz w:val="24"/>
        </w:rPr>
        <w:t>供应商须在评标区域外等候演示通知，参加演示时，代理机构将通知相关供应商指派的现场演示人员携带现场演示所需设备及软件进行演示。若供应商主动放弃或者未按规定时间到场参加现场演示或者未携带相关演示设备（硬件、软件）造成无法参加演示的，均视同自行放弃现场演示和讲解权利，相应评分项不得分。</w:t>
      </w:r>
    </w:p>
    <w:p>
      <w:pPr>
        <w:pStyle w:val="null3"/>
        <w:ind w:firstLine="480"/>
        <w:jc w:val="left"/>
      </w:pPr>
      <w:r>
        <w:rPr>
          <w:rFonts w:ascii="仿宋_GB2312" w:hAnsi="仿宋_GB2312" w:cs="仿宋_GB2312" w:eastAsia="仿宋_GB2312"/>
          <w:sz w:val="24"/>
        </w:rPr>
        <w:t>4.4</w:t>
      </w:r>
      <w:r>
        <w:rPr>
          <w:rFonts w:ascii="仿宋_GB2312" w:hAnsi="仿宋_GB2312" w:cs="仿宋_GB2312" w:eastAsia="仿宋_GB2312"/>
          <w:sz w:val="24"/>
        </w:rPr>
        <w:t>演示过程中，评委可以根据需要，对供应商演示的功能或说明的内容进行提问，供应商应积极响应评委的提问，供应商无法回答问题的，评委有权做出不利于供应商评审（负偏离）。</w:t>
      </w:r>
    </w:p>
    <w:p>
      <w:pPr>
        <w:pStyle w:val="null3"/>
        <w:ind w:firstLine="480"/>
        <w:jc w:val="left"/>
      </w:pPr>
      <w:r>
        <w:rPr>
          <w:rFonts w:ascii="仿宋_GB2312" w:hAnsi="仿宋_GB2312" w:cs="仿宋_GB2312" w:eastAsia="仿宋_GB2312"/>
          <w:sz w:val="24"/>
        </w:rPr>
        <w:t>4.5</w:t>
      </w:r>
      <w:r>
        <w:rPr>
          <w:rFonts w:ascii="仿宋_GB2312" w:hAnsi="仿宋_GB2312" w:cs="仿宋_GB2312" w:eastAsia="仿宋_GB2312"/>
          <w:sz w:val="24"/>
        </w:rPr>
        <w:t>供应商演示环节仅作为本次评审依据，若本次采购需复核，磋商小组对演示不作再次评审，演示评审结果不作更改。</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rPr>
        <w:t>服务内容、要求及标准：承担泉州师范学院软件工程专业</w:t>
      </w:r>
      <w:r>
        <w:rPr>
          <w:rFonts w:ascii="仿宋_GB2312" w:hAnsi="仿宋_GB2312" w:cs="仿宋_GB2312" w:eastAsia="仿宋_GB2312"/>
          <w:sz w:val="24"/>
        </w:rPr>
        <w:t>2022级200名学生的《课程实训5》、《软件工程综合实训》、《专业实习》等实践课程教学任务，辅助校内导师进行毕业设计指导任务，并推荐学生就业，包括8周企业实训、辅助毕业设计指导、8周实习指导、有限就业指导与就业推荐。具体方案应结合软件工程行业需求，针对学生的方向（学生分为软件开发、虚拟现实开发2个方向），积极培养学生运用先进的工程化方法、技术和工具从事软件开发、人工智能开发、虚拟现实开发的能力，以及工程项目的组织与管理能力、团队协作能力、技术创新能力和市场开拓能力。</w:t>
      </w:r>
    </w:p>
    <w:p>
      <w:pPr>
        <w:pStyle w:val="null3"/>
        <w:ind w:firstLine="480"/>
        <w:jc w:val="both"/>
      </w:pPr>
      <w:r>
        <w:rPr>
          <w:rFonts w:ascii="仿宋_GB2312" w:hAnsi="仿宋_GB2312" w:cs="仿宋_GB2312" w:eastAsia="仿宋_GB2312"/>
          <w:sz w:val="24"/>
        </w:rPr>
        <w:t>具体如表</w:t>
      </w:r>
      <w:r>
        <w:rPr>
          <w:rFonts w:ascii="仿宋_GB2312" w:hAnsi="仿宋_GB2312" w:cs="仿宋_GB2312" w:eastAsia="仿宋_GB2312"/>
          <w:sz w:val="24"/>
        </w:rPr>
        <w:t>1：</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1：服务内容、要求及标准</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服务内容、要求及标准</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一、场地设备配置</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教学场地及软硬件环境</w:t>
            </w:r>
          </w:p>
          <w:p>
            <w:pPr>
              <w:pStyle w:val="null3"/>
              <w:jc w:val="both"/>
            </w:pPr>
            <w:r>
              <w:rPr>
                <w:rFonts w:ascii="仿宋_GB2312" w:hAnsi="仿宋_GB2312" w:cs="仿宋_GB2312" w:eastAsia="仿宋_GB2312"/>
                <w:sz w:val="24"/>
              </w:rPr>
              <w:t>1.1提供满足单次实训不低于200人的教学场地、设备、网络以及适宜的学习环境。</w:t>
            </w:r>
          </w:p>
          <w:p>
            <w:pPr>
              <w:pStyle w:val="null3"/>
              <w:jc w:val="both"/>
            </w:pPr>
            <w:r>
              <w:rPr>
                <w:rFonts w:ascii="仿宋_GB2312" w:hAnsi="仿宋_GB2312" w:cs="仿宋_GB2312" w:eastAsia="仿宋_GB2312"/>
                <w:sz w:val="24"/>
              </w:rPr>
              <w:t>1.2能为学生在实训期间提供一人一台计算机的开发条件，保障每个受训学生具备实操条件。</w:t>
            </w:r>
          </w:p>
          <w:p>
            <w:pPr>
              <w:pStyle w:val="null3"/>
              <w:jc w:val="both"/>
            </w:pPr>
            <w:r>
              <w:rPr>
                <w:rFonts w:ascii="仿宋_GB2312" w:hAnsi="仿宋_GB2312" w:cs="仿宋_GB2312" w:eastAsia="仿宋_GB2312"/>
                <w:sz w:val="24"/>
              </w:rPr>
              <w:t>1.3配备线上教学服务平台及实训课程资源。</w:t>
            </w:r>
          </w:p>
          <w:p>
            <w:pPr>
              <w:pStyle w:val="null3"/>
              <w:jc w:val="both"/>
            </w:pPr>
            <w:r>
              <w:rPr>
                <w:rFonts w:ascii="仿宋_GB2312" w:hAnsi="仿宋_GB2312" w:cs="仿宋_GB2312" w:eastAsia="仿宋_GB2312"/>
                <w:sz w:val="24"/>
              </w:rPr>
              <w:t>1.4★周边应有不少于10家IT相关企业，以便能够让学生实地了解本行业的企业文化，同时便于开展就业辅导和行业交流。</w:t>
            </w:r>
          </w:p>
          <w:p>
            <w:pPr>
              <w:pStyle w:val="null3"/>
              <w:jc w:val="both"/>
            </w:pPr>
            <w:r>
              <w:rPr>
                <w:rFonts w:ascii="仿宋_GB2312" w:hAnsi="仿宋_GB2312" w:cs="仿宋_GB2312" w:eastAsia="仿宋_GB2312"/>
                <w:sz w:val="24"/>
              </w:rPr>
              <w:t>■2. 食宿条件及环境</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8周企业实训食宿由承训单位统一安排，8周企业实训住宿费用包含在本服务</w:t>
            </w:r>
            <w:r>
              <w:rPr>
                <w:rFonts w:ascii="仿宋_GB2312" w:hAnsi="仿宋_GB2312" w:cs="仿宋_GB2312" w:eastAsia="仿宋_GB2312"/>
                <w:sz w:val="24"/>
              </w:rPr>
              <w:t>报价</w:t>
            </w:r>
            <w:r>
              <w:rPr>
                <w:rFonts w:ascii="仿宋_GB2312" w:hAnsi="仿宋_GB2312" w:cs="仿宋_GB2312" w:eastAsia="仿宋_GB2312"/>
                <w:sz w:val="24"/>
              </w:rPr>
              <w:t>中。</w:t>
            </w:r>
          </w:p>
          <w:p>
            <w:pPr>
              <w:pStyle w:val="null3"/>
              <w:jc w:val="both"/>
            </w:pPr>
            <w:r>
              <w:rPr>
                <w:rFonts w:ascii="仿宋_GB2312" w:hAnsi="仿宋_GB2312" w:cs="仿宋_GB2312" w:eastAsia="仿宋_GB2312"/>
                <w:sz w:val="24"/>
              </w:rPr>
              <w:t>2.2承诺住宿不超过6人/套；</w:t>
            </w:r>
            <w:r>
              <w:rPr>
                <w:rFonts w:ascii="仿宋_GB2312" w:hAnsi="仿宋_GB2312" w:cs="仿宋_GB2312" w:eastAsia="仿宋_GB2312"/>
                <w:sz w:val="24"/>
                <w:b/>
              </w:rPr>
              <w:t>供应商中标后</w:t>
            </w:r>
            <w:r>
              <w:rPr>
                <w:rFonts w:ascii="仿宋_GB2312" w:hAnsi="仿宋_GB2312" w:cs="仿宋_GB2312" w:eastAsia="仿宋_GB2312"/>
                <w:sz w:val="24"/>
                <w:b/>
              </w:rPr>
              <w:t>须</w:t>
            </w:r>
            <w:r>
              <w:rPr>
                <w:rFonts w:ascii="仿宋_GB2312" w:hAnsi="仿宋_GB2312" w:cs="仿宋_GB2312" w:eastAsia="仿宋_GB2312"/>
                <w:sz w:val="24"/>
                <w:b/>
              </w:rPr>
              <w:t>向采购人</w:t>
            </w:r>
            <w:r>
              <w:rPr>
                <w:rFonts w:ascii="仿宋_GB2312" w:hAnsi="仿宋_GB2312" w:cs="仿宋_GB2312" w:eastAsia="仿宋_GB2312"/>
                <w:sz w:val="24"/>
                <w:b/>
              </w:rPr>
              <w:t>提供</w:t>
            </w:r>
            <w:r>
              <w:rPr>
                <w:rFonts w:ascii="仿宋_GB2312" w:hAnsi="仿宋_GB2312" w:cs="仿宋_GB2312" w:eastAsia="仿宋_GB2312"/>
                <w:sz w:val="24"/>
                <w:b/>
              </w:rPr>
              <w:t>项目实施期间</w:t>
            </w:r>
            <w:r>
              <w:rPr>
                <w:rFonts w:ascii="仿宋_GB2312" w:hAnsi="仿宋_GB2312" w:cs="仿宋_GB2312" w:eastAsia="仿宋_GB2312"/>
                <w:sz w:val="24"/>
                <w:b/>
              </w:rPr>
              <w:t>集中住宿地具体位置及相关照片，房间数、每房间床位数及住宿地到实训上课地点导航步行图。</w:t>
            </w:r>
          </w:p>
          <w:p>
            <w:pPr>
              <w:pStyle w:val="null3"/>
              <w:jc w:val="both"/>
            </w:pPr>
            <w:r>
              <w:rPr>
                <w:rFonts w:ascii="仿宋_GB2312" w:hAnsi="仿宋_GB2312" w:cs="仿宋_GB2312" w:eastAsia="仿宋_GB2312"/>
                <w:sz w:val="24"/>
              </w:rPr>
              <w:t>2.3就餐地与实训地之间步行不超过10分钟、住宿地与实训地之间步行不超过15分钟</w:t>
            </w:r>
            <w:r>
              <w:rPr>
                <w:rFonts w:ascii="仿宋_GB2312" w:hAnsi="仿宋_GB2312" w:cs="仿宋_GB2312" w:eastAsia="仿宋_GB2312"/>
                <w:sz w:val="24"/>
              </w:rPr>
              <w:t>；</w:t>
            </w:r>
            <w:r>
              <w:rPr>
                <w:rFonts w:ascii="仿宋_GB2312" w:hAnsi="仿宋_GB2312" w:cs="仿宋_GB2312" w:eastAsia="仿宋_GB2312"/>
                <w:sz w:val="24"/>
              </w:rPr>
              <w:t>超过</w:t>
            </w:r>
            <w:r>
              <w:rPr>
                <w:rFonts w:ascii="仿宋_GB2312" w:hAnsi="仿宋_GB2312" w:cs="仿宋_GB2312" w:eastAsia="仿宋_GB2312"/>
                <w:sz w:val="24"/>
              </w:rPr>
              <w:t>15分钟的，需要提供接送交通工具</w:t>
            </w:r>
            <w:r>
              <w:rPr>
                <w:rFonts w:ascii="仿宋_GB2312" w:hAnsi="仿宋_GB2312" w:cs="仿宋_GB2312" w:eastAsia="仿宋_GB2312"/>
                <w:sz w:val="24"/>
              </w:rPr>
              <w:t>，</w:t>
            </w:r>
            <w:r>
              <w:rPr>
                <w:rFonts w:ascii="仿宋_GB2312" w:hAnsi="仿宋_GB2312" w:cs="仿宋_GB2312" w:eastAsia="仿宋_GB2312"/>
                <w:sz w:val="24"/>
              </w:rPr>
              <w:t>不得收取交通费用，交通费用</w:t>
            </w:r>
            <w:r>
              <w:rPr>
                <w:rFonts w:ascii="仿宋_GB2312" w:hAnsi="仿宋_GB2312" w:cs="仿宋_GB2312" w:eastAsia="仿宋_GB2312"/>
                <w:sz w:val="24"/>
              </w:rPr>
              <w:t>包含在本服务</w:t>
            </w:r>
            <w:r>
              <w:rPr>
                <w:rFonts w:ascii="仿宋_GB2312" w:hAnsi="仿宋_GB2312" w:cs="仿宋_GB2312" w:eastAsia="仿宋_GB2312"/>
                <w:sz w:val="24"/>
              </w:rPr>
              <w:t>报价</w:t>
            </w:r>
            <w:r>
              <w:rPr>
                <w:rFonts w:ascii="仿宋_GB2312" w:hAnsi="仿宋_GB2312" w:cs="仿宋_GB2312" w:eastAsia="仿宋_GB2312"/>
                <w:sz w:val="24"/>
              </w:rPr>
              <w:t>中。</w:t>
            </w:r>
          </w:p>
          <w:p>
            <w:pPr>
              <w:pStyle w:val="null3"/>
              <w:jc w:val="both"/>
            </w:pPr>
            <w:r>
              <w:rPr>
                <w:rFonts w:ascii="仿宋_GB2312" w:hAnsi="仿宋_GB2312" w:cs="仿宋_GB2312" w:eastAsia="仿宋_GB2312"/>
                <w:sz w:val="24"/>
              </w:rPr>
              <w:t>2.4 宿舍提供上网条件</w:t>
            </w:r>
            <w:r>
              <w:rPr>
                <w:rFonts w:ascii="仿宋_GB2312" w:hAnsi="仿宋_GB2312" w:cs="仿宋_GB2312" w:eastAsia="仿宋_GB2312"/>
                <w:sz w:val="24"/>
              </w:rPr>
              <w:t>，</w:t>
            </w:r>
            <w:r>
              <w:rPr>
                <w:rFonts w:ascii="仿宋_GB2312" w:hAnsi="仿宋_GB2312" w:cs="仿宋_GB2312" w:eastAsia="仿宋_GB2312"/>
                <w:sz w:val="24"/>
              </w:rPr>
              <w:t>费用</w:t>
            </w:r>
            <w:r>
              <w:rPr>
                <w:rFonts w:ascii="仿宋_GB2312" w:hAnsi="仿宋_GB2312" w:cs="仿宋_GB2312" w:eastAsia="仿宋_GB2312"/>
                <w:sz w:val="24"/>
              </w:rPr>
              <w:t>包含在本服务</w:t>
            </w:r>
            <w:r>
              <w:rPr>
                <w:rFonts w:ascii="仿宋_GB2312" w:hAnsi="仿宋_GB2312" w:cs="仿宋_GB2312" w:eastAsia="仿宋_GB2312"/>
                <w:sz w:val="24"/>
              </w:rPr>
              <w:t>报价</w:t>
            </w:r>
            <w:r>
              <w:rPr>
                <w:rFonts w:ascii="仿宋_GB2312" w:hAnsi="仿宋_GB2312" w:cs="仿宋_GB2312" w:eastAsia="仿宋_GB2312"/>
                <w:sz w:val="24"/>
              </w:rPr>
              <w:t>中。</w:t>
            </w:r>
          </w:p>
          <w:p>
            <w:pPr>
              <w:pStyle w:val="null3"/>
              <w:jc w:val="both"/>
            </w:pPr>
            <w:r>
              <w:rPr>
                <w:rFonts w:ascii="仿宋_GB2312" w:hAnsi="仿宋_GB2312" w:cs="仿宋_GB2312" w:eastAsia="仿宋_GB2312"/>
                <w:sz w:val="24"/>
              </w:rPr>
              <w:t>3. 随训教师办公及住宿条件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3.1 供应商需为采购人派驻的随训教师提供必要的办公条件</w:t>
            </w:r>
            <w:r>
              <w:rPr>
                <w:rFonts w:ascii="仿宋_GB2312" w:hAnsi="仿宋_GB2312" w:cs="仿宋_GB2312" w:eastAsia="仿宋_GB2312"/>
                <w:sz w:val="24"/>
              </w:rPr>
              <w:t>，</w:t>
            </w:r>
            <w:r>
              <w:rPr>
                <w:rFonts w:ascii="仿宋_GB2312" w:hAnsi="仿宋_GB2312" w:cs="仿宋_GB2312" w:eastAsia="仿宋_GB2312"/>
                <w:sz w:val="24"/>
              </w:rPr>
              <w:t>费用</w:t>
            </w:r>
            <w:r>
              <w:rPr>
                <w:rFonts w:ascii="仿宋_GB2312" w:hAnsi="仿宋_GB2312" w:cs="仿宋_GB2312" w:eastAsia="仿宋_GB2312"/>
                <w:sz w:val="24"/>
              </w:rPr>
              <w:t>包含在本服务</w:t>
            </w:r>
            <w:r>
              <w:rPr>
                <w:rFonts w:ascii="仿宋_GB2312" w:hAnsi="仿宋_GB2312" w:cs="仿宋_GB2312" w:eastAsia="仿宋_GB2312"/>
                <w:sz w:val="24"/>
              </w:rPr>
              <w:t>报价</w:t>
            </w:r>
            <w:r>
              <w:rPr>
                <w:rFonts w:ascii="仿宋_GB2312" w:hAnsi="仿宋_GB2312" w:cs="仿宋_GB2312" w:eastAsia="仿宋_GB2312"/>
                <w:sz w:val="24"/>
              </w:rPr>
              <w:t>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3.2 供应商需按照采购人规定的费用标准统一为采购人派驻的随训教师提供必要的住宿条件，费用包含在本服务</w:t>
            </w:r>
            <w:r>
              <w:rPr>
                <w:rFonts w:ascii="仿宋_GB2312" w:hAnsi="仿宋_GB2312" w:cs="仿宋_GB2312" w:eastAsia="仿宋_GB2312"/>
                <w:sz w:val="24"/>
              </w:rPr>
              <w:t>报价</w:t>
            </w:r>
            <w:r>
              <w:rPr>
                <w:rFonts w:ascii="仿宋_GB2312" w:hAnsi="仿宋_GB2312" w:cs="仿宋_GB2312" w:eastAsia="仿宋_GB2312"/>
                <w:sz w:val="24"/>
              </w:rPr>
              <w:t>中。</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二、实训课程要求</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■1.《课程实训5》及《软件工程综合实训》按培养方案中的学时，《课程实训5》为2周，《软件工程综合实训》为6周。</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rPr>
              <w:t>2.严格执行采购人制定的培养方案，承担课程各方向的教学大纲、授课计划、教学内容和教学案例的制定，保质保量完成教学任务和教学计划，不得以任何理由擅自更改教学实施计划。确需调整时，须经上报采购人批准后方可变更。</w:t>
            </w:r>
          </w:p>
          <w:p>
            <w:pPr>
              <w:pStyle w:val="null3"/>
              <w:jc w:val="both"/>
            </w:pPr>
            <w:r>
              <w:rPr>
                <w:rFonts w:ascii="仿宋_GB2312" w:hAnsi="仿宋_GB2312" w:cs="仿宋_GB2312" w:eastAsia="仿宋_GB2312"/>
                <w:sz w:val="24"/>
              </w:rPr>
              <w:t>■3.软件开发方向实训内容要求：</w:t>
            </w:r>
          </w:p>
          <w:p>
            <w:pPr>
              <w:pStyle w:val="null3"/>
              <w:ind w:firstLine="480"/>
              <w:jc w:val="both"/>
            </w:pPr>
            <w:r>
              <w:rPr>
                <w:rFonts w:ascii="仿宋_GB2312" w:hAnsi="仿宋_GB2312" w:cs="仿宋_GB2312" w:eastAsia="仿宋_GB2312"/>
                <w:sz w:val="24"/>
              </w:rPr>
              <w:t>掌握软件应用开发过程涉及到的主流技术融合进项目开发，这些技术包括但不限于：</w:t>
            </w:r>
          </w:p>
          <w:p>
            <w:pPr>
              <w:pStyle w:val="null3"/>
              <w:ind w:left="420"/>
            </w:pPr>
            <w:r>
              <w:rPr>
                <w:rFonts w:ascii="仿宋_GB2312" w:hAnsi="仿宋_GB2312" w:cs="仿宋_GB2312" w:eastAsia="仿宋_GB2312"/>
                <w:sz w:val="24"/>
              </w:rPr>
              <w:t>(1)</w:t>
            </w:r>
            <w:r>
              <w:rPr>
                <w:rFonts w:ascii="仿宋_GB2312" w:hAnsi="仿宋_GB2312" w:cs="仿宋_GB2312" w:eastAsia="仿宋_GB2312"/>
                <w:sz w:val="24"/>
              </w:rPr>
              <w:t>Java基础、Java Web核心编程；</w:t>
            </w:r>
          </w:p>
          <w:p>
            <w:pPr>
              <w:pStyle w:val="null3"/>
              <w:ind w:left="420"/>
            </w:pPr>
            <w:r>
              <w:rPr>
                <w:rFonts w:ascii="仿宋_GB2312" w:hAnsi="仿宋_GB2312" w:cs="仿宋_GB2312" w:eastAsia="仿宋_GB2312"/>
                <w:sz w:val="24"/>
              </w:rPr>
              <w:t>(2)</w:t>
            </w:r>
            <w:r>
              <w:rPr>
                <w:rFonts w:ascii="仿宋_GB2312" w:hAnsi="仿宋_GB2312" w:cs="仿宋_GB2312" w:eastAsia="仿宋_GB2312"/>
                <w:sz w:val="24"/>
              </w:rPr>
              <w:t>前端技术框架（</w:t>
            </w:r>
            <w:r>
              <w:rPr>
                <w:rFonts w:ascii="仿宋_GB2312" w:hAnsi="仿宋_GB2312" w:cs="仿宋_GB2312" w:eastAsia="仿宋_GB2312"/>
                <w:sz w:val="24"/>
              </w:rPr>
              <w:t>Node.js、Vue3、Vue全家桶、微信小程序）</w:t>
            </w:r>
          </w:p>
          <w:p>
            <w:pPr>
              <w:pStyle w:val="null3"/>
              <w:ind w:left="420"/>
            </w:pPr>
            <w:r>
              <w:rPr>
                <w:rFonts w:ascii="仿宋_GB2312" w:hAnsi="仿宋_GB2312" w:cs="仿宋_GB2312" w:eastAsia="仿宋_GB2312"/>
                <w:sz w:val="24"/>
              </w:rPr>
              <w:t>(3)</w:t>
            </w:r>
            <w:r>
              <w:rPr>
                <w:rFonts w:ascii="仿宋_GB2312" w:hAnsi="仿宋_GB2312" w:cs="仿宋_GB2312" w:eastAsia="仿宋_GB2312"/>
                <w:sz w:val="24"/>
              </w:rPr>
              <w:t>MyBatis、Mybatis-Plus、Spring、SpringMVC等常用JavaEE企业级框架；</w:t>
            </w:r>
          </w:p>
          <w:p>
            <w:pPr>
              <w:pStyle w:val="null3"/>
              <w:ind w:left="420"/>
            </w:pPr>
            <w:r>
              <w:rPr>
                <w:rFonts w:ascii="仿宋_GB2312" w:hAnsi="仿宋_GB2312" w:cs="仿宋_GB2312" w:eastAsia="仿宋_GB2312"/>
                <w:sz w:val="24"/>
              </w:rPr>
              <w:t>(4)</w:t>
            </w:r>
            <w:r>
              <w:rPr>
                <w:rFonts w:ascii="仿宋_GB2312" w:hAnsi="仿宋_GB2312" w:cs="仿宋_GB2312" w:eastAsia="仿宋_GB2312"/>
                <w:sz w:val="24"/>
              </w:rPr>
              <w:t>JavaEE项目实战（SSM后端框架实现前后端分离；Maven+Git、ElasticSearch搜索引擎、RabbitMQ消息中间件等技术）；</w:t>
            </w:r>
          </w:p>
          <w:p>
            <w:pPr>
              <w:pStyle w:val="null3"/>
              <w:ind w:left="420"/>
            </w:pPr>
            <w:r>
              <w:rPr>
                <w:rFonts w:ascii="仿宋_GB2312" w:hAnsi="仿宋_GB2312" w:cs="仿宋_GB2312" w:eastAsia="仿宋_GB2312"/>
                <w:sz w:val="24"/>
              </w:rPr>
              <w:t>(5)</w:t>
            </w:r>
            <w:r>
              <w:rPr>
                <w:rFonts w:ascii="仿宋_GB2312" w:hAnsi="仿宋_GB2312" w:cs="仿宋_GB2312" w:eastAsia="仿宋_GB2312"/>
                <w:sz w:val="24"/>
              </w:rPr>
              <w:t>SpringBoot、SpringCloud等微服务治理技术；</w:t>
            </w:r>
          </w:p>
          <w:p>
            <w:pPr>
              <w:pStyle w:val="null3"/>
              <w:ind w:left="420"/>
            </w:pPr>
            <w:r>
              <w:rPr>
                <w:rFonts w:ascii="仿宋_GB2312" w:hAnsi="仿宋_GB2312" w:cs="仿宋_GB2312" w:eastAsia="仿宋_GB2312"/>
                <w:sz w:val="24"/>
              </w:rPr>
              <w:t>(6)</w:t>
            </w:r>
            <w:r>
              <w:rPr>
                <w:rFonts w:ascii="仿宋_GB2312" w:hAnsi="仿宋_GB2312" w:cs="仿宋_GB2312" w:eastAsia="仿宋_GB2312"/>
                <w:sz w:val="24"/>
              </w:rPr>
              <w:t>大型分布式项目实战（应用微服务架构、前后端分离技术、分布式消息队列数据一致性、分布式微服务事务处理、分布式微服务鉴权等技术）；</w:t>
            </w:r>
          </w:p>
          <w:p>
            <w:pPr>
              <w:pStyle w:val="null3"/>
              <w:ind w:left="420"/>
            </w:pPr>
            <w:r>
              <w:rPr>
                <w:rFonts w:ascii="仿宋_GB2312" w:hAnsi="仿宋_GB2312" w:cs="仿宋_GB2312" w:eastAsia="仿宋_GB2312"/>
                <w:sz w:val="24"/>
              </w:rPr>
              <w:t>(7)</w:t>
            </w:r>
            <w:r>
              <w:rPr>
                <w:rFonts w:ascii="仿宋_GB2312" w:hAnsi="仿宋_GB2312" w:cs="仿宋_GB2312" w:eastAsia="仿宋_GB2312"/>
                <w:sz w:val="24"/>
              </w:rPr>
              <w:t>微服务架构容器部署和管理技术；</w:t>
            </w:r>
          </w:p>
          <w:p>
            <w:pPr>
              <w:pStyle w:val="null3"/>
              <w:ind w:left="420"/>
            </w:pPr>
            <w:r>
              <w:rPr>
                <w:rFonts w:ascii="仿宋_GB2312" w:hAnsi="仿宋_GB2312" w:cs="仿宋_GB2312" w:eastAsia="仿宋_GB2312"/>
                <w:sz w:val="24"/>
              </w:rPr>
              <w:t>(8)</w:t>
            </w:r>
            <w:r>
              <w:rPr>
                <w:rFonts w:ascii="仿宋_GB2312" w:hAnsi="仿宋_GB2312" w:cs="仿宋_GB2312" w:eastAsia="仿宋_GB2312"/>
                <w:sz w:val="24"/>
              </w:rPr>
              <w:t>Docker容器化部署；</w:t>
            </w:r>
          </w:p>
          <w:p>
            <w:pPr>
              <w:pStyle w:val="null3"/>
              <w:ind w:left="420"/>
            </w:pPr>
            <w:r>
              <w:rPr>
                <w:rFonts w:ascii="仿宋_GB2312" w:hAnsi="仿宋_GB2312" w:cs="仿宋_GB2312" w:eastAsia="仿宋_GB2312"/>
                <w:sz w:val="24"/>
              </w:rPr>
              <w:t>(9)</w:t>
            </w:r>
            <w:r>
              <w:rPr>
                <w:rFonts w:ascii="仿宋_GB2312" w:hAnsi="仿宋_GB2312" w:cs="仿宋_GB2312" w:eastAsia="仿宋_GB2312"/>
                <w:sz w:val="24"/>
              </w:rPr>
              <w:t>HarmonyOS应用开发；</w:t>
            </w:r>
          </w:p>
          <w:p>
            <w:pPr>
              <w:pStyle w:val="null3"/>
            </w:pPr>
            <w:r>
              <w:rPr>
                <w:rFonts w:ascii="仿宋_GB2312" w:hAnsi="仿宋_GB2312" w:cs="仿宋_GB2312" w:eastAsia="仿宋_GB2312"/>
                <w:sz w:val="24"/>
              </w:rPr>
              <w:t>(10)</w:t>
            </w:r>
            <w:r>
              <w:rPr>
                <w:rFonts w:ascii="仿宋_GB2312" w:hAnsi="仿宋_GB2312" w:cs="仿宋_GB2312" w:eastAsia="仿宋_GB2312"/>
                <w:sz w:val="24"/>
              </w:rPr>
              <w:t>云应用技术；</w:t>
            </w:r>
          </w:p>
          <w:p>
            <w:pPr>
              <w:pStyle w:val="null3"/>
              <w:ind w:left="420"/>
            </w:pPr>
            <w:r>
              <w:rPr>
                <w:rFonts w:ascii="仿宋_GB2312" w:hAnsi="仿宋_GB2312" w:cs="仿宋_GB2312" w:eastAsia="仿宋_GB2312"/>
                <w:sz w:val="24"/>
              </w:rPr>
              <w:t>(11)</w:t>
            </w:r>
            <w:r>
              <w:rPr>
                <w:rFonts w:ascii="仿宋_GB2312" w:hAnsi="仿宋_GB2312" w:cs="仿宋_GB2312" w:eastAsia="仿宋_GB2312"/>
                <w:sz w:val="24"/>
              </w:rPr>
              <w:t>AIGC工具的使用和前瞻性技术的引导学习；</w:t>
            </w:r>
          </w:p>
          <w:p>
            <w:pPr>
              <w:pStyle w:val="null3"/>
              <w:ind w:left="420"/>
            </w:pPr>
            <w:r>
              <w:rPr>
                <w:rFonts w:ascii="仿宋_GB2312" w:hAnsi="仿宋_GB2312" w:cs="仿宋_GB2312" w:eastAsia="仿宋_GB2312"/>
                <w:sz w:val="24"/>
              </w:rPr>
              <w:t>(12)</w:t>
            </w:r>
            <w:r>
              <w:rPr>
                <w:rFonts w:ascii="仿宋_GB2312" w:hAnsi="仿宋_GB2312" w:cs="仿宋_GB2312" w:eastAsia="仿宋_GB2312"/>
                <w:sz w:val="24"/>
              </w:rPr>
              <w:t>实践教学案例资源：提供完整实践教学案例资源，包括实践任务书、实验手册、项目指导书，源代码，相关数据集，微课等。</w:t>
            </w:r>
          </w:p>
          <w:p>
            <w:pPr>
              <w:pStyle w:val="null3"/>
              <w:jc w:val="both"/>
            </w:pPr>
            <w:r>
              <w:rPr>
                <w:rFonts w:ascii="仿宋_GB2312" w:hAnsi="仿宋_GB2312" w:cs="仿宋_GB2312" w:eastAsia="仿宋_GB2312"/>
                <w:sz w:val="24"/>
              </w:rPr>
              <w:t>■4.虚拟现实开发方向实训内容要求：</w:t>
            </w:r>
          </w:p>
          <w:p>
            <w:pPr>
              <w:pStyle w:val="null3"/>
              <w:ind w:firstLine="480"/>
              <w:jc w:val="both"/>
            </w:pPr>
            <w:r>
              <w:rPr>
                <w:rFonts w:ascii="仿宋_GB2312" w:hAnsi="仿宋_GB2312" w:cs="仿宋_GB2312" w:eastAsia="仿宋_GB2312"/>
                <w:sz w:val="24"/>
              </w:rPr>
              <w:t>掌握涉及到的主流技术融合进项目开发。这些技术包括但不限于：</w:t>
            </w:r>
          </w:p>
          <w:p>
            <w:pPr>
              <w:pStyle w:val="null3"/>
              <w:numPr>
                <w:ilvl w:val="0"/>
                <w:numId w:val="1"/>
              </w:numPr>
            </w:pPr>
            <w:r>
              <w:rPr>
                <w:rFonts w:ascii="仿宋_GB2312" w:hAnsi="仿宋_GB2312" w:cs="仿宋_GB2312" w:eastAsia="仿宋_GB2312"/>
                <w:sz w:val="24"/>
              </w:rPr>
              <w:t>虚拟现实技术的原理和基本原则，为虚拟现实环境进行设计和构建；</w:t>
            </w:r>
          </w:p>
          <w:p>
            <w:pPr>
              <w:pStyle w:val="null3"/>
              <w:numPr>
                <w:ilvl w:val="0"/>
                <w:numId w:val="1"/>
              </w:numPr>
            </w:pPr>
            <w:r>
              <w:rPr>
                <w:rFonts w:ascii="仿宋_GB2312" w:hAnsi="仿宋_GB2312" w:cs="仿宋_GB2312" w:eastAsia="仿宋_GB2312"/>
                <w:sz w:val="24"/>
              </w:rPr>
              <w:t>虚拟现实技术的开发方法和工具；</w:t>
            </w:r>
          </w:p>
          <w:p>
            <w:pPr>
              <w:pStyle w:val="null3"/>
              <w:numPr>
                <w:ilvl w:val="0"/>
                <w:numId w:val="1"/>
              </w:numPr>
            </w:pPr>
            <w:r>
              <w:rPr>
                <w:rFonts w:ascii="仿宋_GB2312" w:hAnsi="仿宋_GB2312" w:cs="仿宋_GB2312" w:eastAsia="仿宋_GB2312"/>
                <w:sz w:val="24"/>
              </w:rPr>
              <w:t>使用专业软件和编程语言，如</w:t>
            </w:r>
            <w:r>
              <w:rPr>
                <w:rFonts w:ascii="仿宋_GB2312" w:hAnsi="仿宋_GB2312" w:cs="仿宋_GB2312" w:eastAsia="仿宋_GB2312"/>
                <w:sz w:val="24"/>
              </w:rPr>
              <w:t>Unity和C#，来创建和开发虚拟现实应用程序和场景；</w:t>
            </w:r>
          </w:p>
          <w:p>
            <w:pPr>
              <w:pStyle w:val="null3"/>
              <w:numPr>
                <w:ilvl w:val="0"/>
                <w:numId w:val="1"/>
              </w:numPr>
            </w:pPr>
            <w:r>
              <w:rPr>
                <w:rFonts w:ascii="仿宋_GB2312" w:hAnsi="仿宋_GB2312" w:cs="仿宋_GB2312" w:eastAsia="仿宋_GB2312"/>
                <w:sz w:val="24"/>
              </w:rPr>
              <w:t>掌握虚拟现实应用的开发流程和技巧，包括</w:t>
            </w:r>
            <w:r>
              <w:rPr>
                <w:rFonts w:ascii="仿宋_GB2312" w:hAnsi="仿宋_GB2312" w:cs="仿宋_GB2312" w:eastAsia="仿宋_GB2312"/>
                <w:sz w:val="24"/>
              </w:rPr>
              <w:t>C#语法、常用类以及Unity3D脚本程序知识；</w:t>
            </w:r>
          </w:p>
          <w:p>
            <w:pPr>
              <w:pStyle w:val="null3"/>
              <w:numPr>
                <w:ilvl w:val="0"/>
                <w:numId w:val="1"/>
              </w:numPr>
            </w:pPr>
            <w:r>
              <w:rPr>
                <w:rFonts w:ascii="仿宋_GB2312" w:hAnsi="仿宋_GB2312" w:cs="仿宋_GB2312" w:eastAsia="仿宋_GB2312"/>
                <w:sz w:val="24"/>
              </w:rPr>
              <w:t>在虚拟环境里完全按照产品的真实性模拟产品的实际装配过程。这包括产品的外观、组成结构、物理碰撞、运作原理、拆装顺序、工具选择、零部件空间位置等内容的模拟；</w:t>
            </w:r>
          </w:p>
          <w:p>
            <w:pPr>
              <w:pStyle w:val="null3"/>
              <w:numPr>
                <w:ilvl w:val="0"/>
                <w:numId w:val="1"/>
              </w:numPr>
            </w:pPr>
            <w:r>
              <w:rPr>
                <w:rFonts w:ascii="仿宋_GB2312" w:hAnsi="仿宋_GB2312" w:cs="仿宋_GB2312" w:eastAsia="仿宋_GB2312"/>
                <w:sz w:val="24"/>
              </w:rPr>
              <w:t>基于</w:t>
            </w:r>
            <w:r>
              <w:rPr>
                <w:rFonts w:ascii="仿宋_GB2312" w:hAnsi="仿宋_GB2312" w:cs="仿宋_GB2312" w:eastAsia="仿宋_GB2312"/>
                <w:sz w:val="24"/>
              </w:rPr>
              <w:t>HTC VIVE或其他虚拟现实（VR）设备的VR应用系统开发；</w:t>
            </w:r>
          </w:p>
          <w:p>
            <w:pPr>
              <w:pStyle w:val="null3"/>
              <w:numPr>
                <w:ilvl w:val="0"/>
                <w:numId w:val="1"/>
              </w:numPr>
            </w:pPr>
            <w:r>
              <w:rPr>
                <w:rFonts w:ascii="仿宋_GB2312" w:hAnsi="仿宋_GB2312" w:cs="仿宋_GB2312" w:eastAsia="仿宋_GB2312"/>
                <w:sz w:val="24"/>
              </w:rPr>
              <w:t>虚拟现实应用案例开发，包括动画系统、导航系统、</w:t>
            </w:r>
            <w:r>
              <w:rPr>
                <w:rFonts w:ascii="仿宋_GB2312" w:hAnsi="仿宋_GB2312" w:cs="仿宋_GB2312" w:eastAsia="仿宋_GB2312"/>
                <w:sz w:val="24"/>
              </w:rPr>
              <w:t>UGUI事件系统等；</w:t>
            </w:r>
          </w:p>
          <w:p>
            <w:pPr>
              <w:pStyle w:val="null3"/>
              <w:numPr>
                <w:ilvl w:val="0"/>
                <w:numId w:val="1"/>
              </w:numPr>
            </w:pPr>
            <w:r>
              <w:rPr>
                <w:rFonts w:ascii="仿宋_GB2312" w:hAnsi="仿宋_GB2312" w:cs="仿宋_GB2312" w:eastAsia="仿宋_GB2312"/>
                <w:sz w:val="24"/>
              </w:rPr>
              <w:t>AIGC工具的使用和前瞻性技术的引导学习；</w:t>
            </w:r>
          </w:p>
          <w:p>
            <w:pPr>
              <w:pStyle w:val="null3"/>
              <w:numPr>
                <w:ilvl w:val="0"/>
                <w:numId w:val="1"/>
              </w:numPr>
            </w:pPr>
            <w:r>
              <w:rPr>
                <w:rFonts w:ascii="仿宋_GB2312" w:hAnsi="仿宋_GB2312" w:cs="仿宋_GB2312" w:eastAsia="仿宋_GB2312"/>
                <w:sz w:val="24"/>
              </w:rPr>
              <w:t>实践教学案例资源：提供完整实践教学案例资源，包括实践任务书、实验手册、项目指导书，源代码，相关数据集，微课等。</w:t>
            </w:r>
          </w:p>
          <w:p>
            <w:pPr>
              <w:pStyle w:val="null3"/>
              <w:jc w:val="both"/>
            </w:pPr>
            <w:r>
              <w:rPr>
                <w:rFonts w:ascii="仿宋_GB2312" w:hAnsi="仿宋_GB2312" w:cs="仿宋_GB2312" w:eastAsia="仿宋_GB2312"/>
                <w:sz w:val="24"/>
              </w:rPr>
              <w:t>5. 实训内容需包括以下类型：</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1）商业项目案例式教学：各个方向采用案例式教学模式，以多个真实商业项目案例为原型，遵照软件工程实施规范与实施流程，以团队加个人的方式进行核心技能提升训练；</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2）职业素养与创新创业辅导：要求供应商在实施过程中贯穿职业素养训练课程和创新创业意识和能力培养课程。让学生感受企业文化，体验团队合作精神，具有较好的组织管理能力，养成良好的表达、沟通与协作习惯, 掌握笔试、面试技巧， 懂得商务礼仪，能够明确规划自己的职业发展道路。</w:t>
            </w:r>
          </w:p>
          <w:p>
            <w:pPr>
              <w:pStyle w:val="null3"/>
              <w:jc w:val="both"/>
            </w:pPr>
            <w:r>
              <w:rPr>
                <w:rFonts w:ascii="仿宋_GB2312" w:hAnsi="仿宋_GB2312" w:cs="仿宋_GB2312" w:eastAsia="仿宋_GB2312"/>
                <w:sz w:val="24"/>
              </w:rPr>
              <w:t>6.实训课程其他要求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实训期间</w:t>
            </w:r>
            <w:r>
              <w:rPr>
                <w:rFonts w:ascii="仿宋_GB2312" w:hAnsi="仿宋_GB2312" w:cs="仿宋_GB2312" w:eastAsia="仿宋_GB2312"/>
                <w:sz w:val="24"/>
              </w:rPr>
              <w:t>提供线上教学平台上的相关课程资源至少</w:t>
            </w:r>
            <w:r>
              <w:rPr>
                <w:rFonts w:ascii="仿宋_GB2312" w:hAnsi="仿宋_GB2312" w:cs="仿宋_GB2312" w:eastAsia="仿宋_GB2312"/>
                <w:sz w:val="24"/>
              </w:rPr>
              <w:t>3门，供学生补充学习使用</w:t>
            </w:r>
            <w:r>
              <w:rPr>
                <w:rFonts w:ascii="仿宋_GB2312" w:hAnsi="仿宋_GB2312" w:cs="仿宋_GB2312" w:eastAsia="仿宋_GB2312"/>
                <w:sz w:val="24"/>
              </w:rPr>
              <w:t>，</w:t>
            </w:r>
            <w:r>
              <w:rPr>
                <w:rFonts w:ascii="仿宋_GB2312" w:hAnsi="仿宋_GB2312" w:cs="仿宋_GB2312" w:eastAsia="仿宋_GB2312"/>
                <w:sz w:val="24"/>
              </w:rPr>
              <w:t>费用</w:t>
            </w:r>
            <w:r>
              <w:rPr>
                <w:rFonts w:ascii="仿宋_GB2312" w:hAnsi="仿宋_GB2312" w:cs="仿宋_GB2312" w:eastAsia="仿宋_GB2312"/>
                <w:sz w:val="24"/>
              </w:rPr>
              <w:t>包含在本服务</w:t>
            </w:r>
            <w:r>
              <w:rPr>
                <w:rFonts w:ascii="仿宋_GB2312" w:hAnsi="仿宋_GB2312" w:cs="仿宋_GB2312" w:eastAsia="仿宋_GB2312"/>
                <w:sz w:val="24"/>
              </w:rPr>
              <w:t>报价</w:t>
            </w:r>
            <w:r>
              <w:rPr>
                <w:rFonts w:ascii="仿宋_GB2312" w:hAnsi="仿宋_GB2312" w:cs="仿宋_GB2312" w:eastAsia="仿宋_GB2312"/>
                <w:sz w:val="24"/>
              </w:rPr>
              <w:t>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2）在实训过程中适当融入课程思政。</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三、实训支撑材料</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实训计划：细化到每半天</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实训管理相关制度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考核学生的评价体系，以项目化形式，按照分阶段进行（包括团队考核与个人考核相结合的方式）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参训学生对实训基地和师资的服务评价和意见反馈机制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提供主要软件、硬件设备清单。（</w:t>
            </w:r>
            <w:r>
              <w:rPr>
                <w:rFonts w:ascii="仿宋_GB2312" w:hAnsi="仿宋_GB2312" w:cs="仿宋_GB2312" w:eastAsia="仿宋_GB2312"/>
                <w:sz w:val="24"/>
                <w:b/>
              </w:rPr>
              <w:t>须在响应文件中</w:t>
            </w:r>
            <w:r>
              <w:rPr>
                <w:rFonts w:ascii="仿宋_GB2312" w:hAnsi="仿宋_GB2312" w:cs="仿宋_GB2312" w:eastAsia="仿宋_GB2312"/>
                <w:sz w:val="24"/>
                <w:b/>
              </w:rPr>
              <w:t>提供</w:t>
            </w:r>
            <w:r>
              <w:rPr>
                <w:rFonts w:ascii="仿宋_GB2312" w:hAnsi="仿宋_GB2312" w:cs="仿宋_GB2312" w:eastAsia="仿宋_GB2312"/>
                <w:sz w:val="24"/>
                <w:b/>
              </w:rPr>
              <w:t>项目实施期间提供的主要软件、硬件清单</w:t>
            </w:r>
            <w:r>
              <w:rPr>
                <w:rFonts w:ascii="仿宋_GB2312" w:hAnsi="仿宋_GB2312" w:cs="仿宋_GB2312" w:eastAsia="仿宋_GB2312"/>
                <w:sz w:val="24"/>
                <w:b/>
              </w:rPr>
              <w:t>材料）</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11</w:t>
            </w:r>
            <w:r>
              <w:rPr>
                <w:rFonts w:ascii="仿宋_GB2312" w:hAnsi="仿宋_GB2312" w:cs="仿宋_GB2312" w:eastAsia="仿宋_GB2312"/>
                <w:sz w:val="24"/>
                <w:b/>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虚拟现实开发方向实训需配备当下主流</w:t>
            </w:r>
            <w:r>
              <w:rPr>
                <w:rFonts w:ascii="仿宋_GB2312" w:hAnsi="仿宋_GB2312" w:cs="仿宋_GB2312" w:eastAsia="仿宋_GB2312"/>
                <w:sz w:val="24"/>
              </w:rPr>
              <w:t>VR设备（如PICO VR等）不少于4套及配套软件以满足虚拟现实开发方向实训教学需求。</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四、师资配置</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师资数量：每班学生容量不得超过</w:t>
            </w:r>
            <w:r>
              <w:rPr>
                <w:rFonts w:ascii="仿宋_GB2312" w:hAnsi="仿宋_GB2312" w:cs="仿宋_GB2312" w:eastAsia="仿宋_GB2312"/>
                <w:sz w:val="24"/>
              </w:rPr>
              <w:t>60名，每班配置1位技术主讲教师、1位辅导教师、1位班主任。实训教学须采用面授方式，按师生比1:15（或</w:t>
            </w:r>
            <w:r>
              <w:rPr>
                <w:rFonts w:ascii="仿宋_GB2312" w:hAnsi="仿宋_GB2312" w:cs="仿宋_GB2312" w:eastAsia="仿宋_GB2312"/>
                <w:sz w:val="24"/>
              </w:rPr>
              <w:t>＜</w:t>
            </w:r>
            <w:r>
              <w:rPr>
                <w:rFonts w:ascii="仿宋_GB2312" w:hAnsi="仿宋_GB2312" w:cs="仿宋_GB2312" w:eastAsia="仿宋_GB2312"/>
                <w:sz w:val="24"/>
              </w:rPr>
              <w:t>15）配备企业指导教师实施双导师毕业设计指导。</w:t>
            </w:r>
            <w:r>
              <w:rPr>
                <w:rFonts w:ascii="仿宋_GB2312" w:hAnsi="仿宋_GB2312" w:cs="仿宋_GB2312" w:eastAsia="仿宋_GB2312"/>
                <w:sz w:val="24"/>
                <w:b/>
              </w:rPr>
              <w:t>（</w:t>
            </w:r>
            <w:r>
              <w:rPr>
                <w:rFonts w:ascii="仿宋_GB2312" w:hAnsi="仿宋_GB2312" w:cs="仿宋_GB2312" w:eastAsia="仿宋_GB2312"/>
                <w:sz w:val="24"/>
                <w:b/>
              </w:rPr>
              <w:t>须在响应文件中</w:t>
            </w:r>
            <w:r>
              <w:rPr>
                <w:rFonts w:ascii="仿宋_GB2312" w:hAnsi="仿宋_GB2312" w:cs="仿宋_GB2312" w:eastAsia="仿宋_GB2312"/>
                <w:sz w:val="24"/>
                <w:b/>
              </w:rPr>
              <w:t>提供师资清单</w:t>
            </w:r>
            <w:r>
              <w:rPr>
                <w:rFonts w:ascii="仿宋_GB2312" w:hAnsi="仿宋_GB2312" w:cs="仿宋_GB2312" w:eastAsia="仿宋_GB2312"/>
                <w:sz w:val="24"/>
                <w:b/>
              </w:rPr>
              <w:t>（</w:t>
            </w:r>
            <w:r>
              <w:rPr>
                <w:rFonts w:ascii="仿宋_GB2312" w:hAnsi="仿宋_GB2312" w:cs="仿宋_GB2312" w:eastAsia="仿宋_GB2312"/>
                <w:sz w:val="24"/>
                <w:b/>
              </w:rPr>
              <w:t>师资清单</w:t>
            </w:r>
            <w:r>
              <w:rPr>
                <w:rFonts w:ascii="仿宋_GB2312" w:hAnsi="仿宋_GB2312" w:cs="仿宋_GB2312" w:eastAsia="仿宋_GB2312"/>
                <w:sz w:val="24"/>
                <w:b/>
              </w:rPr>
              <w:t>至少包含姓名、身份证号码、联系方式、岗位）</w:t>
            </w:r>
            <w:r>
              <w:rPr>
                <w:rFonts w:ascii="仿宋_GB2312" w:hAnsi="仿宋_GB2312" w:cs="仿宋_GB2312" w:eastAsia="仿宋_GB2312"/>
                <w:sz w:val="24"/>
                <w:b/>
              </w:rPr>
              <w:t>及</w:t>
            </w:r>
            <w:r>
              <w:rPr>
                <w:rFonts w:ascii="仿宋_GB2312" w:hAnsi="仿宋_GB2312" w:cs="仿宋_GB2312" w:eastAsia="仿宋_GB2312"/>
                <w:sz w:val="24"/>
                <w:b/>
              </w:rPr>
              <w:t>加盖供应商公章的</w:t>
            </w:r>
            <w:r>
              <w:rPr>
                <w:rFonts w:ascii="仿宋_GB2312" w:hAnsi="仿宋_GB2312" w:cs="仿宋_GB2312" w:eastAsia="仿宋_GB2312"/>
                <w:sz w:val="24"/>
                <w:b/>
              </w:rPr>
              <w:t>在职证明材料）</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教学能力：主讲教师具备</w:t>
            </w:r>
            <w:r>
              <w:rPr>
                <w:rFonts w:ascii="仿宋_GB2312" w:hAnsi="仿宋_GB2312" w:cs="仿宋_GB2312" w:eastAsia="仿宋_GB2312"/>
                <w:sz w:val="24"/>
              </w:rPr>
              <w:t>3年或以上工作经历、计算机相关专业本科及以上学历或者具有计算机技术与软件技术资格中级及以上证书。</w:t>
            </w:r>
            <w:r>
              <w:rPr>
                <w:rFonts w:ascii="仿宋_GB2312" w:hAnsi="仿宋_GB2312" w:cs="仿宋_GB2312" w:eastAsia="仿宋_GB2312"/>
                <w:sz w:val="24"/>
                <w:b/>
              </w:rPr>
              <w:t>（</w:t>
            </w:r>
            <w:r>
              <w:rPr>
                <w:rFonts w:ascii="仿宋_GB2312" w:hAnsi="仿宋_GB2312" w:cs="仿宋_GB2312" w:eastAsia="仿宋_GB2312"/>
                <w:sz w:val="24"/>
                <w:b/>
              </w:rPr>
              <w:t>须在响应文件中</w:t>
            </w:r>
            <w:r>
              <w:rPr>
                <w:rFonts w:ascii="仿宋_GB2312" w:hAnsi="仿宋_GB2312" w:cs="仿宋_GB2312" w:eastAsia="仿宋_GB2312"/>
                <w:sz w:val="24"/>
                <w:b/>
              </w:rPr>
              <w:t>提供</w:t>
            </w:r>
            <w:r>
              <w:rPr>
                <w:rFonts w:ascii="仿宋_GB2312" w:hAnsi="仿宋_GB2312" w:cs="仿宋_GB2312" w:eastAsia="仿宋_GB2312"/>
                <w:sz w:val="24"/>
                <w:b/>
              </w:rPr>
              <w:t>至少</w:t>
            </w:r>
            <w:r>
              <w:rPr>
                <w:rFonts w:ascii="仿宋_GB2312" w:hAnsi="仿宋_GB2312" w:cs="仿宋_GB2312" w:eastAsia="仿宋_GB2312"/>
                <w:sz w:val="24"/>
                <w:b/>
              </w:rPr>
              <w:t>4名主讲教师</w:t>
            </w:r>
            <w:r>
              <w:rPr>
                <w:rFonts w:ascii="仿宋_GB2312" w:hAnsi="仿宋_GB2312" w:cs="仿宋_GB2312" w:eastAsia="仿宋_GB2312"/>
                <w:sz w:val="24"/>
                <w:b/>
              </w:rPr>
              <w:t>的详细人员清单</w:t>
            </w:r>
            <w:r>
              <w:rPr>
                <w:rFonts w:ascii="仿宋_GB2312" w:hAnsi="仿宋_GB2312" w:cs="仿宋_GB2312" w:eastAsia="仿宋_GB2312"/>
                <w:sz w:val="24"/>
                <w:b/>
              </w:rPr>
              <w:t>（</w:t>
            </w:r>
            <w:r>
              <w:rPr>
                <w:rFonts w:ascii="仿宋_GB2312" w:hAnsi="仿宋_GB2312" w:cs="仿宋_GB2312" w:eastAsia="仿宋_GB2312"/>
                <w:sz w:val="24"/>
                <w:b/>
              </w:rPr>
              <w:t>清单</w:t>
            </w:r>
            <w:r>
              <w:rPr>
                <w:rFonts w:ascii="仿宋_GB2312" w:hAnsi="仿宋_GB2312" w:cs="仿宋_GB2312" w:eastAsia="仿宋_GB2312"/>
                <w:sz w:val="24"/>
                <w:b/>
              </w:rPr>
              <w:t>至少包含姓名、身份证号码、工作年限、学历或者资格证书</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工作经历</w:t>
            </w:r>
            <w:r>
              <w:rPr>
                <w:rFonts w:ascii="仿宋_GB2312" w:hAnsi="仿宋_GB2312" w:cs="仿宋_GB2312" w:eastAsia="仿宋_GB2312"/>
                <w:sz w:val="24"/>
                <w:b/>
              </w:rPr>
              <w:t>证明材料及相关证书复印件</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12</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供应商</w:t>
            </w:r>
            <w:r>
              <w:rPr>
                <w:rFonts w:ascii="仿宋_GB2312" w:hAnsi="仿宋_GB2312" w:cs="仿宋_GB2312" w:eastAsia="仿宋_GB2312"/>
                <w:sz w:val="24"/>
                <w:b/>
              </w:rPr>
              <w:t>投入负责整体项目的教学负责人不少于</w:t>
            </w:r>
            <w:r>
              <w:rPr>
                <w:rFonts w:ascii="仿宋_GB2312" w:hAnsi="仿宋_GB2312" w:cs="仿宋_GB2312" w:eastAsia="仿宋_GB2312"/>
                <w:sz w:val="24"/>
                <w:b/>
              </w:rPr>
              <w:t>1人，总投入项目的专职人员不少于18人</w:t>
            </w:r>
            <w:r>
              <w:rPr>
                <w:rFonts w:ascii="仿宋_GB2312" w:hAnsi="仿宋_GB2312" w:cs="仿宋_GB2312" w:eastAsia="仿宋_GB2312"/>
                <w:sz w:val="24"/>
                <w:b/>
              </w:rPr>
              <w:t>（</w:t>
            </w:r>
            <w:r>
              <w:rPr>
                <w:rFonts w:ascii="仿宋_GB2312" w:hAnsi="仿宋_GB2312" w:cs="仿宋_GB2312" w:eastAsia="仿宋_GB2312"/>
                <w:sz w:val="24"/>
                <w:b/>
              </w:rPr>
              <w:t>含</w:t>
            </w:r>
            <w:r>
              <w:rPr>
                <w:rFonts w:ascii="仿宋_GB2312" w:hAnsi="仿宋_GB2312" w:cs="仿宋_GB2312" w:eastAsia="仿宋_GB2312"/>
                <w:sz w:val="24"/>
                <w:b/>
              </w:rPr>
              <w:t>教学负责人</w:t>
            </w:r>
            <w:r>
              <w:rPr>
                <w:rFonts w:ascii="仿宋_GB2312" w:hAnsi="仿宋_GB2312" w:cs="仿宋_GB2312" w:eastAsia="仿宋_GB2312"/>
                <w:sz w:val="24"/>
                <w:b/>
              </w:rPr>
              <w:t>）</w:t>
            </w:r>
            <w:r>
              <w:rPr>
                <w:rFonts w:ascii="仿宋_GB2312" w:hAnsi="仿宋_GB2312" w:cs="仿宋_GB2312" w:eastAsia="仿宋_GB2312"/>
                <w:sz w:val="24"/>
                <w:b/>
              </w:rPr>
              <w:t>。</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五、实训过程管理</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13</w:t>
            </w: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要求供应商对实训进行考核和成绩评定，并及时将成绩录入学院的成绩管理系统。</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14</w:t>
            </w: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要求供应商设立教学档案柜，按照采购人要求提供完整的所有环节教学档案，在实训实习完成后需配合完成采购人所需各类教学档案的归档整理。</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15</w:t>
            </w: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要求供应商指派一名固定联络人员，每周负责向采购人主管领导书面汇报学生动态，出现违纪等异常现象及时向采购人学生工作办公室汇报。</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16</w:t>
            </w: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要求供应商配合采购人完成其他学生工作，</w:t>
            </w:r>
            <w:r>
              <w:rPr>
                <w:rFonts w:ascii="仿宋_GB2312" w:hAnsi="仿宋_GB2312" w:cs="仿宋_GB2312" w:eastAsia="仿宋_GB2312"/>
                <w:sz w:val="24"/>
              </w:rPr>
              <w:t>包括但不限于：毕业生校内及离校前的相关安全教育、学风建设和重点学生关注工作等；开展丰富的文体活动，给学生营造健康积极向上的学习氛围；及时组织实训基地学生填写相关表格等。未经采购人书面同意，在实训期间，学生不得以任何理由让学生提前离开实训基地。</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六、辅助毕业设计指导</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照《泉州师范学院毕业论文(设计)工作管理规定》和工作安排，企业导师协助校内导师指导学生完成毕业设项目，企业导师侧重负责指导学生完成项目的设计与实现，并辅助校内导师做好相关记录和文档整理工作，同时要求企业导师具有计算机技术与软件专业技术资格（水平）考试中级或以上证书；供应商提供的毕业设计应用项目应适应现代社会的发展，从吃、住、行、游、购、娱、环境、健康等角度选取题目，覆盖面广。</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七、实习指导</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17</w:t>
            </w:r>
            <w:r>
              <w:rPr>
                <w:rFonts w:ascii="仿宋_GB2312" w:hAnsi="仿宋_GB2312" w:cs="仿宋_GB2312" w:eastAsia="仿宋_GB2312"/>
                <w:sz w:val="24"/>
                <w:b/>
              </w:rPr>
              <w:t>）</w:t>
            </w:r>
            <w:r>
              <w:rPr>
                <w:rFonts w:ascii="仿宋_GB2312" w:hAnsi="仿宋_GB2312" w:cs="仿宋_GB2312" w:eastAsia="仿宋_GB2312"/>
                <w:sz w:val="24"/>
              </w:rPr>
              <w:t>供应商推荐学生至实习单位，未获推荐实习单位同学由</w:t>
            </w:r>
            <w:r>
              <w:rPr>
                <w:rFonts w:ascii="仿宋_GB2312" w:hAnsi="仿宋_GB2312" w:cs="仿宋_GB2312" w:eastAsia="仿宋_GB2312"/>
                <w:sz w:val="24"/>
              </w:rPr>
              <w:t>供应商</w:t>
            </w:r>
            <w:r>
              <w:rPr>
                <w:rFonts w:ascii="仿宋_GB2312" w:hAnsi="仿宋_GB2312" w:cs="仿宋_GB2312" w:eastAsia="仿宋_GB2312"/>
                <w:sz w:val="24"/>
              </w:rPr>
              <w:t>组织在校内进行企业级项目现场实习，需制定详细的实习推荐及现场实习方案。</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八、学生保险与安全管理</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18</w:t>
            </w:r>
            <w:r>
              <w:rPr>
                <w:rFonts w:ascii="仿宋_GB2312" w:hAnsi="仿宋_GB2312" w:cs="仿宋_GB2312" w:eastAsia="仿宋_GB2312"/>
                <w:sz w:val="24"/>
                <w:b/>
              </w:rPr>
              <w:t>）</w:t>
            </w:r>
            <w:r>
              <w:rPr>
                <w:rFonts w:ascii="仿宋_GB2312" w:hAnsi="仿宋_GB2312" w:cs="仿宋_GB2312" w:eastAsia="仿宋_GB2312"/>
                <w:sz w:val="24"/>
              </w:rPr>
              <w:t>供应商负责学生在企业实训期间的教育管理和安全管理，并承担相应的责任；为学生购买企业实训期间意外伤害险。</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九、学生就业推荐</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.中标后须</w:t>
            </w:r>
            <w:r>
              <w:rPr>
                <w:rFonts w:ascii="仿宋_GB2312" w:hAnsi="仿宋_GB2312" w:cs="仿宋_GB2312" w:eastAsia="仿宋_GB2312"/>
                <w:sz w:val="24"/>
              </w:rPr>
              <w:t>提供合理的就业指导课程体系方案和就业推荐方案；</w:t>
            </w:r>
            <w:r>
              <w:rPr>
                <w:rFonts w:ascii="仿宋_GB2312" w:hAnsi="仿宋_GB2312" w:cs="仿宋_GB2312" w:eastAsia="仿宋_GB2312"/>
                <w:sz w:val="24"/>
              </w:rPr>
              <w:t>中标后须</w:t>
            </w:r>
            <w:r>
              <w:rPr>
                <w:rFonts w:ascii="仿宋_GB2312" w:hAnsi="仿宋_GB2312" w:cs="仿宋_GB2312" w:eastAsia="仿宋_GB2312"/>
                <w:sz w:val="24"/>
              </w:rPr>
              <w:t>提供推荐企业清单，具有一定数量的世界</w:t>
            </w:r>
            <w:r>
              <w:rPr>
                <w:rFonts w:ascii="仿宋_GB2312" w:hAnsi="仿宋_GB2312" w:cs="仿宋_GB2312" w:eastAsia="仿宋_GB2312"/>
                <w:sz w:val="24"/>
              </w:rPr>
              <w:t>500强或大中型国有企业及大公司。</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项号</w:t>
            </w:r>
            <w:r>
              <w:rPr>
                <w:rFonts w:ascii="仿宋_GB2312" w:hAnsi="仿宋_GB2312" w:cs="仿宋_GB2312" w:eastAsia="仿宋_GB2312"/>
                <w:sz w:val="24"/>
                <w:b/>
              </w:rPr>
              <w:t>20</w:t>
            </w: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供应商指派一名负责学生就业工作的联络人员，全程负责毕业生的就业指导和推荐工作，并制定详细的就业服务方案。</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★每生至少享受3次就业推荐。</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★十、服务要求</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1．严格按照本项目要求保质保量地完成全部任务。</w:t>
            </w:r>
          </w:p>
          <w:p>
            <w:pPr>
              <w:pStyle w:val="null3"/>
              <w:jc w:val="left"/>
            </w:pPr>
            <w:r>
              <w:rPr>
                <w:rFonts w:ascii="仿宋_GB2312" w:hAnsi="仿宋_GB2312" w:cs="仿宋_GB2312" w:eastAsia="仿宋_GB2312"/>
                <w:sz w:val="24"/>
              </w:rPr>
              <w:t>2．所供服务在服务期限内因人员教学和服务质量问题，应采购人要求，供应商负责及时更换人员。</w:t>
            </w:r>
          </w:p>
          <w:p>
            <w:pPr>
              <w:pStyle w:val="null3"/>
              <w:jc w:val="left"/>
            </w:pPr>
            <w:r>
              <w:rPr>
                <w:rFonts w:ascii="仿宋_GB2312" w:hAnsi="仿宋_GB2312" w:cs="仿宋_GB2312" w:eastAsia="仿宋_GB2312"/>
                <w:sz w:val="24"/>
              </w:rPr>
              <w:t>3．由于供应商原因，造成本项目质量、安全等事件，自愿承担全部经济责任及相关赔偿损失。</w:t>
            </w:r>
          </w:p>
          <w:p>
            <w:pPr>
              <w:pStyle w:val="null3"/>
              <w:jc w:val="left"/>
            </w:pPr>
            <w:r>
              <w:rPr>
                <w:rFonts w:ascii="仿宋_GB2312" w:hAnsi="仿宋_GB2312" w:cs="仿宋_GB2312" w:eastAsia="仿宋_GB2312"/>
                <w:sz w:val="24"/>
              </w:rPr>
              <w:t>4．为本项目所派人员进行相应服务时，不得出现无故不到岗、早退等情况（如因供应商服务不到位，不能满足</w:t>
            </w:r>
            <w:r>
              <w:rPr>
                <w:rFonts w:ascii="仿宋_GB2312" w:hAnsi="仿宋_GB2312" w:cs="仿宋_GB2312" w:eastAsia="仿宋_GB2312"/>
                <w:sz w:val="24"/>
              </w:rPr>
              <w:t>采购</w:t>
            </w:r>
            <w:r>
              <w:rPr>
                <w:rFonts w:ascii="仿宋_GB2312" w:hAnsi="仿宋_GB2312" w:cs="仿宋_GB2312" w:eastAsia="仿宋_GB2312"/>
                <w:sz w:val="24"/>
              </w:rPr>
              <w:t>人正常工作要求时，采购人可采取必要的补救措施，由此产生的风险、违约责任和发生的费用全部由供应商承担）。</w:t>
            </w:r>
          </w:p>
          <w:p>
            <w:pPr>
              <w:pStyle w:val="null3"/>
              <w:jc w:val="left"/>
            </w:pPr>
          </w:p>
        </w:tc>
      </w:tr>
    </w:tbl>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签订合同后15天内完成服务交付实施计划，具体按照采购人教学实际协商。本项目服务期自合同签订之日起算，结束时间为2026年8月31日，截止2026年8月31日未就业同学的就业推荐服务延续至2026年12月31日。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经采购人验收合格。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1、期次1，说明：详见其他商务要求。</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成交供应商实施8周学生企业实训结束后，经采购人针对实训服务最终验收合格，且采购人收到成交供应商提供的发票等材料后（成交供应商、收款单位、购货票证开票单位三者应一致，成交供应商收款账号应为公司的基本账户。），达到付款条件起30日内，支付合同总金额的40.00%</w:t>
            </w:r>
          </w:p>
          <w:p>
            <w:pPr>
              <w:pStyle w:val="null3"/>
            </w:pPr>
            <w:r>
              <w:rPr>
                <w:rFonts w:ascii="仿宋_GB2312" w:hAnsi="仿宋_GB2312" w:cs="仿宋_GB2312" w:eastAsia="仿宋_GB2312"/>
              </w:rPr>
              <w:t>2、成交供应商完成协助毕业设计指导、完成8周实习指导、实施就业服务至2026年12月31日（或本届软件工程毕业生就业率达到或超过95%）后，经采购人针对毕业设计指导、实习指导服务、就业服务最终验收合格后，且采购人收到成交供应商提供的发票等材料后，达到付款条件起30日内，支付合同总金额的60.00%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成交供应商在签订合同前应向采购人缴纳合同金额2%的履约保证金，该保证金在成交供应商提供的服务全部验收合格、合同约定事项全部履行完毕且无未了事项后，30日内一次性无息退还。如果是以保函形式缴纳履约保证金的，成交供应商必须开具见索即付(无条件支付)银行保函，且保函有效期(即到期时间)必须涵盖服务期满后6个月</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本项目合同支付方式以本条要求为准。1、成交供应商实施8周学生企业实训结束后，经采购人针对实训服务最终验收合格，且采购人收到成交供应商提供的发票等材料后（成交供应商、收款单位、购货票证开票单位三者应一致，成交供应商收款账号应为公司的基本账户。），达到付款条件起30日内，支付合同总金额的40.00%。 2、成交供应商完成协助毕业设计指导、完成8周实习指导、实施就业服务至2026年12月31日（或本届软件工程毕业生就业率达到或超过95%）后，经采购人针对毕业设计指导、实习指导服务、就业服务最终验收合格后，且采购人收到成交供应商提供的发票等材料后（成交供应商、收款单位、购货票证开票单位三者应一致，成交供应商收款账号应为公司的基本账户。），达到付款条件起30日内，支付合同总金额的60.00%。</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★具体要求内容如下：</w:t>
      </w:r>
    </w:p>
    <w:p>
      <w:pPr>
        <w:pStyle w:val="null3"/>
        <w:jc w:val="both"/>
      </w:pPr>
      <w:r>
        <w:rPr>
          <w:rFonts w:ascii="仿宋_GB2312" w:hAnsi="仿宋_GB2312" w:cs="仿宋_GB2312" w:eastAsia="仿宋_GB2312"/>
          <w:sz w:val="24"/>
          <w:b/>
          <w:shd w:fill="FFFFFF" w:val="clear"/>
        </w:rPr>
        <w:t>一、验收要求</w:t>
      </w:r>
    </w:p>
    <w:p>
      <w:pPr>
        <w:pStyle w:val="null3"/>
        <w:ind w:firstLine="480"/>
        <w:jc w:val="both"/>
      </w:pPr>
      <w:r>
        <w:rPr>
          <w:rFonts w:ascii="仿宋_GB2312" w:hAnsi="仿宋_GB2312" w:cs="仿宋_GB2312" w:eastAsia="仿宋_GB2312"/>
          <w:sz w:val="24"/>
          <w:shd w:fill="FFFFFF" w:val="clear"/>
        </w:rPr>
        <w:t>（一）实训服务、实习指导与推荐验收标准</w:t>
      </w:r>
    </w:p>
    <w:p>
      <w:pPr>
        <w:pStyle w:val="null3"/>
        <w:ind w:firstLine="480"/>
        <w:jc w:val="left"/>
      </w:pP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对成交供应商提</w:t>
      </w:r>
      <w:r>
        <w:rPr>
          <w:rFonts w:ascii="仿宋_GB2312" w:hAnsi="仿宋_GB2312" w:cs="仿宋_GB2312" w:eastAsia="仿宋_GB2312"/>
          <w:sz w:val="24"/>
          <w:shd w:fill="FFFFFF" w:val="clear"/>
        </w:rPr>
        <w:t>供的服务，依据下列标准进行验收（考核）：</w:t>
      </w:r>
    </w:p>
    <w:p>
      <w:pPr>
        <w:pStyle w:val="null3"/>
        <w:ind w:firstLine="480"/>
        <w:jc w:val="left"/>
      </w:pPr>
      <w:r>
        <w:rPr>
          <w:rFonts w:ascii="仿宋_GB2312" w:hAnsi="仿宋_GB2312" w:cs="仿宋_GB2312" w:eastAsia="仿宋_GB2312"/>
          <w:sz w:val="24"/>
          <w:shd w:fill="FFFFFF" w:val="clear"/>
        </w:rPr>
        <w:t>1.成交供应商所提供的服务与响应文件和采购合同一致，达到本采购项目合同要求中规定的标准。</w:t>
      </w:r>
    </w:p>
    <w:p>
      <w:pPr>
        <w:pStyle w:val="null3"/>
        <w:ind w:firstLine="480"/>
        <w:jc w:val="left"/>
      </w:pPr>
      <w:r>
        <w:rPr>
          <w:rFonts w:ascii="仿宋_GB2312" w:hAnsi="仿宋_GB2312" w:cs="仿宋_GB2312" w:eastAsia="仿宋_GB2312"/>
          <w:sz w:val="24"/>
          <w:shd w:fill="FFFFFF" w:val="clear"/>
        </w:rPr>
        <w:t>2.成交供应商在服务过程中提供的各项实训实习材料应该符合采购人教学材料的要求。</w:t>
      </w:r>
    </w:p>
    <w:p>
      <w:pPr>
        <w:pStyle w:val="null3"/>
        <w:ind w:firstLine="480"/>
        <w:jc w:val="left"/>
      </w:pPr>
      <w:r>
        <w:rPr>
          <w:rFonts w:ascii="仿宋_GB2312" w:hAnsi="仿宋_GB2312" w:cs="仿宋_GB2312" w:eastAsia="仿宋_GB2312"/>
          <w:sz w:val="24"/>
          <w:shd w:fill="FFFFFF" w:val="clear"/>
        </w:rPr>
        <w:t>3.成交供应商通过对参与实训实习学生进行三次摸底就业意向调查，因学生自身原因自愿放弃就业的除外，有意向就业的毕业生至少获得3次就业推荐机会。</w:t>
      </w:r>
    </w:p>
    <w:p>
      <w:pPr>
        <w:pStyle w:val="null3"/>
        <w:ind w:firstLine="480"/>
        <w:jc w:val="left"/>
      </w:pPr>
      <w:r>
        <w:rPr>
          <w:rFonts w:ascii="仿宋_GB2312" w:hAnsi="仿宋_GB2312" w:cs="仿宋_GB2312" w:eastAsia="仿宋_GB2312"/>
          <w:sz w:val="24"/>
          <w:shd w:fill="FFFFFF" w:val="clear"/>
        </w:rPr>
        <w:t>4.在服务过程中，采购人所出现的答疑与相关问题得到妥善解决，并运行正常。</w:t>
      </w:r>
    </w:p>
    <w:p>
      <w:pPr>
        <w:pStyle w:val="null3"/>
        <w:ind w:firstLine="480"/>
        <w:jc w:val="left"/>
      </w:pPr>
      <w:r>
        <w:rPr>
          <w:rFonts w:ascii="仿宋_GB2312" w:hAnsi="仿宋_GB2312" w:cs="仿宋_GB2312" w:eastAsia="仿宋_GB2312"/>
          <w:sz w:val="24"/>
          <w:shd w:fill="FFFFFF" w:val="clear"/>
        </w:rPr>
        <w:t>5.在服务过程中，采购人的学生和老师对成交供应商的相关服务提出评价服务，并及时进行响应。</w:t>
      </w:r>
    </w:p>
    <w:p>
      <w:pPr>
        <w:pStyle w:val="null3"/>
        <w:ind w:firstLine="480"/>
        <w:jc w:val="both"/>
      </w:pPr>
      <w:r>
        <w:rPr>
          <w:rFonts w:ascii="仿宋_GB2312" w:hAnsi="仿宋_GB2312" w:cs="仿宋_GB2312" w:eastAsia="仿宋_GB2312"/>
          <w:sz w:val="24"/>
          <w:shd w:fill="FFFFFF" w:val="clear"/>
        </w:rPr>
        <w:t>6.在服务规定时间内完成服务，成交供应商提出验收请求并经采购人验收通过。</w:t>
      </w:r>
    </w:p>
    <w:p>
      <w:pPr>
        <w:pStyle w:val="null3"/>
        <w:jc w:val="both"/>
      </w:pPr>
      <w:r>
        <w:rPr>
          <w:rFonts w:ascii="仿宋_GB2312" w:hAnsi="仿宋_GB2312" w:cs="仿宋_GB2312" w:eastAsia="仿宋_GB2312"/>
          <w:sz w:val="24"/>
          <w:shd w:fill="FFFFFF" w:val="clear"/>
        </w:rPr>
        <w:t>（二）验收程序</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服务交付实施计划</w:t>
      </w:r>
      <w:r>
        <w:rPr>
          <w:rFonts w:ascii="仿宋_GB2312" w:hAnsi="仿宋_GB2312" w:cs="仿宋_GB2312" w:eastAsia="仿宋_GB2312"/>
          <w:sz w:val="24"/>
          <w:shd w:fill="FFFFFF" w:val="clear"/>
        </w:rPr>
        <w:t>检验</w:t>
      </w:r>
      <w:r>
        <w:rPr>
          <w:rFonts w:ascii="仿宋_GB2312" w:hAnsi="仿宋_GB2312" w:cs="仿宋_GB2312" w:eastAsia="仿宋_GB2312"/>
          <w:sz w:val="24"/>
          <w:shd w:fill="FFFFFF" w:val="clear"/>
        </w:rPr>
        <w:t>：成交供应商在</w:t>
      </w:r>
      <w:r>
        <w:rPr>
          <w:rFonts w:ascii="仿宋_GB2312" w:hAnsi="仿宋_GB2312" w:cs="仿宋_GB2312" w:eastAsia="仿宋_GB2312"/>
          <w:sz w:val="24"/>
          <w:shd w:fill="FFFFFF" w:val="clear"/>
        </w:rPr>
        <w:t>签订合同</w:t>
      </w:r>
      <w:r>
        <w:rPr>
          <w:rFonts w:ascii="仿宋_GB2312" w:hAnsi="仿宋_GB2312" w:cs="仿宋_GB2312" w:eastAsia="仿宋_GB2312"/>
          <w:sz w:val="24"/>
          <w:shd w:fill="FFFFFF" w:val="clear"/>
        </w:rPr>
        <w:t>后</w:t>
      </w:r>
      <w:r>
        <w:rPr>
          <w:rFonts w:ascii="仿宋_GB2312" w:hAnsi="仿宋_GB2312" w:cs="仿宋_GB2312" w:eastAsia="仿宋_GB2312"/>
          <w:sz w:val="24"/>
          <w:shd w:fill="FFFFFF" w:val="clear"/>
        </w:rPr>
        <w:t>15天内完成</w:t>
      </w:r>
      <w:r>
        <w:rPr>
          <w:rFonts w:ascii="仿宋_GB2312" w:hAnsi="仿宋_GB2312" w:cs="仿宋_GB2312" w:eastAsia="仿宋_GB2312"/>
          <w:sz w:val="24"/>
          <w:shd w:fill="FFFFFF" w:val="clear"/>
        </w:rPr>
        <w:t>服务交付实施计划，服务交付实施计划应经采购人认可后实施。服务交付实施计划必须符合验收标准的要求。</w:t>
      </w:r>
    </w:p>
    <w:p>
      <w:pPr>
        <w:pStyle w:val="null3"/>
        <w:ind w:firstLine="400"/>
      </w:pPr>
      <w:r>
        <w:rPr>
          <w:rFonts w:ascii="仿宋_GB2312" w:hAnsi="仿宋_GB2312" w:cs="仿宋_GB2312" w:eastAsia="仿宋_GB2312"/>
          <w:sz w:val="24"/>
        </w:rPr>
        <w:t>2.验收：实训实习服务结束后，项目具备验收条件后，成交供应商应向采购人提出验收请求并提供完整的项目交接资料及交接报告。采购人收到验收请求后组织验收，验收合格后，签发验收单；验收不合格，采购人有权选择通知对验收材料进行整改，收到整改通知日起30天内完成整改，逾期未处理，将按合同违约规定处理，由此产生的费用和采购人的</w:t>
      </w:r>
      <w:r>
        <w:rPr>
          <w:rFonts w:ascii="仿宋_GB2312" w:hAnsi="仿宋_GB2312" w:cs="仿宋_GB2312" w:eastAsia="仿宋_GB2312"/>
          <w:sz w:val="24"/>
        </w:rPr>
        <w:t>损失，由供应商承担。</w:t>
      </w:r>
    </w:p>
    <w:p>
      <w:pPr>
        <w:pStyle w:val="null3"/>
      </w:pPr>
      <w:r>
        <w:rPr>
          <w:rFonts w:ascii="仿宋_GB2312" w:hAnsi="仿宋_GB2312" w:cs="仿宋_GB2312" w:eastAsia="仿宋_GB2312"/>
          <w:sz w:val="24"/>
          <w:b/>
        </w:rPr>
        <w:t>二、违约责任</w:t>
      </w:r>
    </w:p>
    <w:p>
      <w:pPr>
        <w:pStyle w:val="null3"/>
        <w:ind w:firstLine="400"/>
      </w:pPr>
      <w:r>
        <w:rPr>
          <w:rFonts w:ascii="仿宋_GB2312" w:hAnsi="仿宋_GB2312" w:cs="仿宋_GB2312" w:eastAsia="仿宋_GB2312"/>
          <w:sz w:val="24"/>
        </w:rPr>
        <w:t>1.</w:t>
      </w:r>
      <w:r>
        <w:rPr>
          <w:rFonts w:ascii="仿宋_GB2312" w:hAnsi="仿宋_GB2312" w:cs="仿宋_GB2312" w:eastAsia="仿宋_GB2312"/>
          <w:sz w:val="24"/>
        </w:rPr>
        <w:t>合同生效后，成交供应商未经采购人同意单方面终止合同的，成交供应商除了应向采购人赔偿因合同终止导致的损失外，还应向采购人偿付该合同款</w:t>
      </w:r>
      <w:r>
        <w:rPr>
          <w:rFonts w:ascii="仿宋_GB2312" w:hAnsi="仿宋_GB2312" w:cs="仿宋_GB2312" w:eastAsia="仿宋_GB2312"/>
          <w:sz w:val="24"/>
        </w:rPr>
        <w:t>30%的违约金。</w:t>
      </w:r>
    </w:p>
    <w:p>
      <w:pPr>
        <w:pStyle w:val="null3"/>
        <w:ind w:firstLine="40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合同生效后，若成交供应商违约，采购人有权没收成交供应商支付的合同履约保证金。</w:t>
      </w:r>
    </w:p>
    <w:p>
      <w:pPr>
        <w:pStyle w:val="null3"/>
        <w:ind w:firstLine="400"/>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未按期</w:t>
      </w:r>
      <w:r>
        <w:rPr>
          <w:rFonts w:ascii="仿宋_GB2312" w:hAnsi="仿宋_GB2312" w:cs="仿宋_GB2312" w:eastAsia="仿宋_GB2312"/>
          <w:sz w:val="24"/>
        </w:rPr>
        <w:t>提供服务</w:t>
      </w:r>
      <w:r>
        <w:rPr>
          <w:rFonts w:ascii="仿宋_GB2312" w:hAnsi="仿宋_GB2312" w:cs="仿宋_GB2312" w:eastAsia="仿宋_GB2312"/>
          <w:sz w:val="24"/>
        </w:rPr>
        <w:t>的违约责任</w:t>
      </w:r>
    </w:p>
    <w:p>
      <w:pPr>
        <w:pStyle w:val="null3"/>
        <w:ind w:firstLine="400"/>
      </w:pPr>
      <w:r>
        <w:rPr>
          <w:rFonts w:ascii="仿宋_GB2312" w:hAnsi="仿宋_GB2312" w:cs="仿宋_GB2312" w:eastAsia="仿宋_GB2312"/>
          <w:sz w:val="24"/>
        </w:rPr>
        <w:t>3.1如果成交供应商未能按合同规定的时间按时提供服务的（不可抗力除外），且未经采购人同意延长提供服务期的，成交供应商需向采购人支付延期</w:t>
      </w:r>
      <w:r>
        <w:rPr>
          <w:rFonts w:ascii="仿宋_GB2312" w:hAnsi="仿宋_GB2312" w:cs="仿宋_GB2312" w:eastAsia="仿宋_GB2312"/>
          <w:sz w:val="24"/>
        </w:rPr>
        <w:t>提供服务</w:t>
      </w:r>
      <w:r>
        <w:rPr>
          <w:rFonts w:ascii="仿宋_GB2312" w:hAnsi="仿宋_GB2312" w:cs="仿宋_GB2312" w:eastAsia="仿宋_GB2312"/>
          <w:sz w:val="24"/>
        </w:rPr>
        <w:t>违约金，延期</w:t>
      </w:r>
      <w:r>
        <w:rPr>
          <w:rFonts w:ascii="仿宋_GB2312" w:hAnsi="仿宋_GB2312" w:cs="仿宋_GB2312" w:eastAsia="仿宋_GB2312"/>
          <w:sz w:val="24"/>
        </w:rPr>
        <w:t>提供服务</w:t>
      </w:r>
      <w:r>
        <w:rPr>
          <w:rFonts w:ascii="仿宋_GB2312" w:hAnsi="仿宋_GB2312" w:cs="仿宋_GB2312" w:eastAsia="仿宋_GB2312"/>
          <w:sz w:val="24"/>
        </w:rPr>
        <w:t>违约金的支付采购人有权从未付的合同货款中扣除。每延误一日，成交供应商应按合同总金额</w:t>
      </w:r>
      <w:r>
        <w:rPr>
          <w:rFonts w:ascii="仿宋_GB2312" w:hAnsi="仿宋_GB2312" w:cs="仿宋_GB2312" w:eastAsia="仿宋_GB2312"/>
          <w:sz w:val="24"/>
        </w:rPr>
        <w:t xml:space="preserve">1‰支付给采购人违约金；若成交供应商逾期提供服务达30天（含30天）以上的，采购人有权单方解除本合同，成交供应商仍应按上述约定支付延期提供服务违约金。若因此给采购人造成损失的，还应赔偿采购人所受的损失。  </w:t>
      </w:r>
    </w:p>
    <w:p>
      <w:pPr>
        <w:pStyle w:val="null3"/>
        <w:ind w:firstLine="400"/>
      </w:pPr>
      <w:r>
        <w:rPr>
          <w:rFonts w:ascii="仿宋_GB2312" w:hAnsi="仿宋_GB2312" w:cs="仿宋_GB2312" w:eastAsia="仿宋_GB2312"/>
          <w:sz w:val="24"/>
        </w:rPr>
        <w:t>3.2若成交供应商不能提供服务（逾期</w:t>
      </w:r>
      <w:r>
        <w:rPr>
          <w:rFonts w:ascii="仿宋_GB2312" w:hAnsi="仿宋_GB2312" w:cs="仿宋_GB2312" w:eastAsia="仿宋_GB2312"/>
          <w:sz w:val="24"/>
        </w:rPr>
        <w:t>30</w:t>
      </w:r>
      <w:r>
        <w:rPr>
          <w:rFonts w:ascii="仿宋_GB2312" w:hAnsi="仿宋_GB2312" w:cs="仿宋_GB2312" w:eastAsia="仿宋_GB2312"/>
          <w:sz w:val="24"/>
        </w:rPr>
        <w:t>日（含</w:t>
      </w:r>
      <w:r>
        <w:rPr>
          <w:rFonts w:ascii="仿宋_GB2312" w:hAnsi="仿宋_GB2312" w:cs="仿宋_GB2312" w:eastAsia="仿宋_GB2312"/>
          <w:sz w:val="24"/>
        </w:rPr>
        <w:t>30天）以上</w:t>
      </w:r>
      <w:r>
        <w:rPr>
          <w:rFonts w:ascii="仿宋_GB2312" w:hAnsi="仿宋_GB2312" w:cs="仿宋_GB2312" w:eastAsia="仿宋_GB2312"/>
          <w:sz w:val="24"/>
        </w:rPr>
        <w:t>的</w:t>
      </w:r>
      <w:r>
        <w:rPr>
          <w:rFonts w:ascii="仿宋_GB2312" w:hAnsi="仿宋_GB2312" w:cs="仿宋_GB2312" w:eastAsia="仿宋_GB2312"/>
          <w:sz w:val="24"/>
        </w:rPr>
        <w:t>视为不能提供服务，不可抗力除外）或</w:t>
      </w:r>
      <w:r>
        <w:rPr>
          <w:rFonts w:ascii="仿宋_GB2312" w:hAnsi="仿宋_GB2312" w:cs="仿宋_GB2312" w:eastAsia="仿宋_GB2312"/>
          <w:sz w:val="24"/>
        </w:rPr>
        <w:t>提供服务</w:t>
      </w:r>
      <w:r>
        <w:rPr>
          <w:rFonts w:ascii="仿宋_GB2312" w:hAnsi="仿宋_GB2312" w:cs="仿宋_GB2312" w:eastAsia="仿宋_GB2312"/>
          <w:sz w:val="24"/>
        </w:rPr>
        <w:t>不合格从而影响采购人正常使用的，成交供应商应向采购人偿付不能提供服务部分货款的</w:t>
      </w:r>
      <w:r>
        <w:rPr>
          <w:rFonts w:ascii="仿宋_GB2312" w:hAnsi="仿宋_GB2312" w:cs="仿宋_GB2312" w:eastAsia="仿宋_GB2312"/>
          <w:sz w:val="24"/>
        </w:rPr>
        <w:t xml:space="preserve">30％的违约金。违约金不足以补偿损失的，采购人有权要求成交供应商赔偿损失。  </w:t>
      </w:r>
    </w:p>
    <w:p>
      <w:pPr>
        <w:pStyle w:val="null3"/>
        <w:ind w:firstLine="400"/>
      </w:pPr>
      <w:r>
        <w:rPr>
          <w:rFonts w:ascii="仿宋_GB2312" w:hAnsi="仿宋_GB2312" w:cs="仿宋_GB2312" w:eastAsia="仿宋_GB2312"/>
          <w:sz w:val="24"/>
        </w:rPr>
        <w:t>4.成交供应商如有下列违约行为之一，采购人有权终止合同，成交供应商赔偿采购人的一切损失。</w:t>
      </w:r>
    </w:p>
    <w:p>
      <w:pPr>
        <w:pStyle w:val="null3"/>
        <w:ind w:firstLine="400"/>
      </w:pPr>
      <w:r>
        <w:rPr>
          <w:rFonts w:ascii="仿宋_GB2312" w:hAnsi="仿宋_GB2312" w:cs="仿宋_GB2312" w:eastAsia="仿宋_GB2312"/>
          <w:sz w:val="24"/>
        </w:rPr>
        <w:t>4.1不能达到投标承诺的要求；</w:t>
      </w:r>
    </w:p>
    <w:p>
      <w:pPr>
        <w:pStyle w:val="null3"/>
        <w:ind w:firstLine="400"/>
      </w:pPr>
      <w:r>
        <w:rPr>
          <w:rFonts w:ascii="仿宋_GB2312" w:hAnsi="仿宋_GB2312" w:cs="仿宋_GB2312" w:eastAsia="仿宋_GB2312"/>
          <w:sz w:val="24"/>
        </w:rPr>
        <w:t>4.2最终验收不合格；</w:t>
      </w:r>
    </w:p>
    <w:p>
      <w:pPr>
        <w:pStyle w:val="null3"/>
        <w:ind w:firstLine="400"/>
      </w:pPr>
      <w:r>
        <w:rPr>
          <w:rFonts w:ascii="仿宋_GB2312" w:hAnsi="仿宋_GB2312" w:cs="仿宋_GB2312" w:eastAsia="仿宋_GB2312"/>
          <w:sz w:val="24"/>
        </w:rPr>
        <w:t>4.3未经采购人同意将项目转包他人；</w:t>
      </w:r>
    </w:p>
    <w:p>
      <w:pPr>
        <w:pStyle w:val="null3"/>
        <w:ind w:firstLine="400"/>
      </w:pPr>
      <w:r>
        <w:rPr>
          <w:rFonts w:ascii="仿宋_GB2312" w:hAnsi="仿宋_GB2312" w:cs="仿宋_GB2312" w:eastAsia="仿宋_GB2312"/>
          <w:sz w:val="24"/>
        </w:rPr>
        <w:t>4.4成交供应商违反双方签署合同书的其他主要条款；</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因成交供应商违约对采购人造成损失的赔偿金及合同约定的违约金均可由采购人从未支付的合同款或保证金中扣除。</w:t>
      </w:r>
    </w:p>
    <w:p>
      <w:pPr>
        <w:pStyle w:val="null3"/>
        <w:ind w:firstLine="400"/>
      </w:pPr>
      <w:r>
        <w:rPr>
          <w:rFonts w:ascii="仿宋_GB2312" w:hAnsi="仿宋_GB2312" w:cs="仿宋_GB2312" w:eastAsia="仿宋_GB2312"/>
          <w:sz w:val="24"/>
        </w:rPr>
        <w:t>6.</w:t>
      </w:r>
      <w:r>
        <w:rPr>
          <w:rFonts w:ascii="仿宋_GB2312" w:hAnsi="仿宋_GB2312" w:cs="仿宋_GB2312" w:eastAsia="仿宋_GB2312"/>
          <w:sz w:val="24"/>
        </w:rPr>
        <w:t>因成交人原因造成采购合同无法按时签订，视为成交人违约，成交人违约对采购人造成的损失的，应向采购人偿付该成交总金额</w:t>
      </w:r>
      <w:r>
        <w:rPr>
          <w:rFonts w:ascii="仿宋_GB2312" w:hAnsi="仿宋_GB2312" w:cs="仿宋_GB2312" w:eastAsia="仿宋_GB2312"/>
          <w:sz w:val="24"/>
        </w:rPr>
        <w:t>10%的违约金。</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.因成交人违约行为，采购人主张债权或挽回损失所产生的案件受理费、保全费、诉讼责任保险费、保全担保费、公告费、鉴定费、律师费等费用由成交人承担。</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本项目不允许成交人以任何名义和理由在成交后将成交项目的主体、非主体、关键性工作、非关键性工作进行转包、分包，在履行合同过程中如有发现，采购人有权单方终止合同。视为成交人违约，成交人违约对采购人造成的损失的，需另行支付相应的赔偿，并追究相关法律责任。3.本磋商文件未明确的其它约定事项或条款，待采购人与成交人签订合同时，由双方协商订立。4.凡参与政府采购并依法取得政府采购合同的供应商，均可使用政府采购合同向福建省政府采购网发布的政府采购合同融资业务信息的银行业金融机构申请融资，可在“政采贷”模块进行具体操作。企业申请所需提交的材料可登录“福建省政府采购网”查询。 融资主要条件:①担保条件:除法定代表人或实际控制人担保外，如融资金额未超过政府采购合同金额的，银行不要求企业供应商提供财产抵质押或第三方担保，或附加其他担保条件。②专用账户:当银行同意授信后，企业供 应 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[350501]ZYT[CS]2025001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泉州师范学院2025年2022级软件工程专业实训实习服务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1(泉州师范学院2025年2022级软件工程专业实训实习服务)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泉州师范学院2025年2022级软件工程专业实训实习服务</w:t>
            </w:r>
          </w:p>
        </w:tc>
        <w:tc>
          <w:tcPr>
            <w:tcW w:type="dxa" w:w="1661"/>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[350501]ZYT[CS]2025001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泉州师范学院2025年2022级软件工程专业实训实习服务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泉州师范学院2025年2022级软件工程专业实训实习服务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2022级软件工程专业实训实习服务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2022级软件工程专业实训实习服务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