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40"/>
        </w:tabs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关于开展</w:t>
      </w:r>
      <w:r>
        <w:rPr>
          <w:rFonts w:hint="eastAsia" w:ascii="黑体" w:eastAsia="黑体"/>
          <w:b/>
          <w:sz w:val="36"/>
          <w:szCs w:val="36"/>
        </w:rPr>
        <w:t>“古城护遗 青年先行”</w:t>
      </w:r>
      <w:r>
        <w:rPr>
          <w:rFonts w:hint="eastAsia" w:ascii="黑体" w:eastAsia="黑体"/>
          <w:b/>
          <w:sz w:val="36"/>
          <w:szCs w:val="36"/>
          <w:lang w:eastAsia="zh-CN"/>
        </w:rPr>
        <w:t>泉州市</w:t>
      </w:r>
      <w:r>
        <w:rPr>
          <w:rFonts w:hint="eastAsia" w:ascii="黑体" w:eastAsia="黑体"/>
          <w:b/>
          <w:sz w:val="36"/>
          <w:szCs w:val="36"/>
        </w:rPr>
        <w:t>大学生暑期社会实践专项行动</w:t>
      </w:r>
      <w:r>
        <w:rPr>
          <w:rFonts w:hint="eastAsia" w:ascii="黑体" w:eastAsia="黑体"/>
          <w:b/>
          <w:sz w:val="36"/>
          <w:szCs w:val="36"/>
          <w:lang w:eastAsia="zh-CN"/>
        </w:rPr>
        <w:t>预通知</w:t>
      </w:r>
    </w:p>
    <w:p>
      <w:pPr>
        <w:tabs>
          <w:tab w:val="left" w:pos="2340"/>
        </w:tabs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2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在泉各高校团委、学生会：</w:t>
      </w:r>
    </w:p>
    <w:p>
      <w:pPr>
        <w:keepNext w:val="0"/>
        <w:keepLines w:val="0"/>
        <w:pageBreakBefore w:val="0"/>
        <w:widowControl w:val="0"/>
        <w:tabs>
          <w:tab w:val="left" w:pos="2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为积极响应市委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市政府“</w:t>
      </w:r>
      <w:r>
        <w:rPr>
          <w:rFonts w:ascii="仿宋_GB2312" w:eastAsia="仿宋_GB2312"/>
          <w:sz w:val="32"/>
          <w:szCs w:val="32"/>
        </w:rPr>
        <w:t>古泉州(刺桐)史迹</w:t>
      </w:r>
      <w:r>
        <w:rPr>
          <w:rFonts w:hint="eastAsia"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申遗</w:t>
      </w:r>
      <w:r>
        <w:rPr>
          <w:rFonts w:hint="eastAsia" w:ascii="仿宋_GB2312" w:eastAsia="仿宋_GB2312"/>
          <w:sz w:val="32"/>
          <w:szCs w:val="32"/>
        </w:rPr>
        <w:t>工作，强化</w:t>
      </w:r>
      <w:r>
        <w:rPr>
          <w:rFonts w:ascii="仿宋_GB2312" w:eastAsia="仿宋_GB2312"/>
          <w:sz w:val="32"/>
          <w:szCs w:val="32"/>
        </w:rPr>
        <w:t>申遗为民、申遗惠民，弘扬保护遗产的全民意识，讲好申遗故事</w:t>
      </w:r>
      <w:r>
        <w:rPr>
          <w:rFonts w:hint="eastAsia" w:ascii="仿宋_GB2312" w:eastAsia="仿宋_GB2312"/>
          <w:sz w:val="32"/>
          <w:szCs w:val="32"/>
        </w:rPr>
        <w:t>，进一步彰显海丝文化魅力，不断提升海丝起点城市的历史底蕴，引导青年大学生积极开展“</w:t>
      </w:r>
      <w:r>
        <w:rPr>
          <w:rFonts w:ascii="仿宋_GB2312" w:eastAsia="仿宋_GB2312"/>
          <w:sz w:val="32"/>
          <w:szCs w:val="32"/>
        </w:rPr>
        <w:t>古泉州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刺桐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史迹</w:t>
      </w:r>
      <w:r>
        <w:rPr>
          <w:rFonts w:hint="eastAsia" w:ascii="仿宋_GB2312" w:eastAsia="仿宋_GB2312"/>
          <w:sz w:val="32"/>
          <w:szCs w:val="32"/>
        </w:rPr>
        <w:t>”的护遗知识宣传、普及，让广大青少年及市民群众，深入了解“</w:t>
      </w:r>
      <w:r>
        <w:rPr>
          <w:rFonts w:ascii="仿宋_GB2312" w:eastAsia="仿宋_GB2312"/>
          <w:sz w:val="32"/>
          <w:szCs w:val="32"/>
        </w:rPr>
        <w:t>古泉州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刺桐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史迹</w:t>
      </w:r>
      <w:r>
        <w:rPr>
          <w:rFonts w:hint="eastAsia" w:ascii="仿宋_GB2312" w:eastAsia="仿宋_GB2312"/>
          <w:sz w:val="32"/>
          <w:szCs w:val="32"/>
        </w:rPr>
        <w:t>”的重要历史价值和现实作用，增强全民护遗的自觉性。</w:t>
      </w:r>
      <w:r>
        <w:rPr>
          <w:rFonts w:hint="eastAsia" w:ascii="仿宋_GB2312" w:eastAsia="仿宋_GB2312"/>
          <w:sz w:val="32"/>
          <w:szCs w:val="32"/>
          <w:lang w:eastAsia="zh-CN"/>
        </w:rPr>
        <w:t>团市委、市学联拟联合开展</w:t>
      </w:r>
      <w:r>
        <w:rPr>
          <w:rFonts w:hint="eastAsia" w:ascii="仿宋_GB2312" w:eastAsia="仿宋_GB2312"/>
          <w:sz w:val="32"/>
          <w:szCs w:val="32"/>
        </w:rPr>
        <w:t>“古城护遗 青年先行”</w:t>
      </w:r>
      <w:r>
        <w:rPr>
          <w:rFonts w:hint="eastAsia" w:ascii="仿宋_GB2312" w:eastAsia="仿宋_GB2312"/>
          <w:sz w:val="32"/>
          <w:szCs w:val="32"/>
          <w:lang w:eastAsia="zh-CN"/>
        </w:rPr>
        <w:t>泉州市</w:t>
      </w:r>
      <w:r>
        <w:rPr>
          <w:rFonts w:hint="eastAsia" w:ascii="仿宋_GB2312" w:eastAsia="仿宋_GB2312"/>
          <w:sz w:val="32"/>
          <w:szCs w:val="32"/>
        </w:rPr>
        <w:t>大学生暑期社会实践专项行动</w:t>
      </w:r>
      <w:r>
        <w:rPr>
          <w:rFonts w:hint="eastAsia" w:ascii="仿宋_GB2312" w:eastAsia="仿宋_GB2312"/>
          <w:sz w:val="32"/>
          <w:szCs w:val="32"/>
          <w:lang w:eastAsia="zh-CN"/>
        </w:rPr>
        <w:t>，具体要求</w:t>
      </w:r>
      <w:r>
        <w:rPr>
          <w:rFonts w:hint="eastAsia" w:ascii="仿宋_GB2312" w:eastAsia="仿宋_GB2312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活动时间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年暑假期间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“古城护遗 青年先行”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、参与对象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在泉各高校大学生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四、活动内容</w:t>
      </w:r>
      <w:r>
        <w:rPr>
          <w:rFonts w:hint="eastAsia" w:eastAsia="黑体"/>
          <w:sz w:val="32"/>
          <w:szCs w:val="32"/>
          <w:lang w:eastAsia="zh-CN"/>
        </w:rPr>
        <w:t>和要求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围绕</w:t>
      </w:r>
      <w:r>
        <w:rPr>
          <w:rFonts w:hint="eastAsia" w:ascii="仿宋_GB2312" w:eastAsia="仿宋_GB2312"/>
          <w:sz w:val="32"/>
          <w:szCs w:val="32"/>
        </w:rPr>
        <w:t>“古城护遗 青年先行”</w:t>
      </w:r>
      <w:r>
        <w:rPr>
          <w:rFonts w:eastAsia="仿宋_GB2312"/>
          <w:color w:val="000000"/>
          <w:sz w:val="32"/>
          <w:szCs w:val="32"/>
        </w:rPr>
        <w:t>主题开展实践活动。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从泉州的地理环境、历史文化、风土人情、对外交流等视角，进一步发现和品味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16个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>遗产</w:t>
      </w:r>
      <w:bookmarkStart w:id="0" w:name="baidusnap4"/>
      <w:bookmarkEnd w:id="0"/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>点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t>和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2个关联点（见附件1）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的独特历史文化内涵和魅力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t>，充分</w:t>
      </w:r>
      <w:r>
        <w:rPr>
          <w:rFonts w:hint="default" w:eastAsia="仿宋_GB2312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借助传统媒体和新兴媒体，传播文化遗产保护理念，弘扬优秀传统文化</w:t>
      </w:r>
      <w:r>
        <w:rPr>
          <w:rFonts w:hint="default" w:eastAsia="仿宋_GB2312"/>
          <w:color w:val="000000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每支队伍需开展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t>一次遗产点或关联点周边志愿环保活动、一次志愿讲解活动、一次线上下联动宣传活动（线上活动要在微博上发表遗产点或关联点有关的文字、图片、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ppt内容，线下活动要在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t>遗产点或关联点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附近开展一次宣传活动）。本次活动详细方案将另行通知，请各高校</w:t>
      </w:r>
      <w:r>
        <w:rPr>
          <w:rFonts w:eastAsia="仿宋_GB2312"/>
          <w:color w:val="000000"/>
          <w:sz w:val="32"/>
          <w:szCs w:val="32"/>
        </w:rPr>
        <w:t>广泛动员并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至少</w:t>
      </w:r>
      <w:r>
        <w:rPr>
          <w:rFonts w:eastAsia="仿宋_GB2312"/>
          <w:color w:val="000000"/>
          <w:sz w:val="32"/>
          <w:szCs w:val="32"/>
        </w:rPr>
        <w:t>组建3支团队开展专题社会实践活动，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每支队伍选取一个申遗点或关联点，</w:t>
      </w:r>
      <w:r>
        <w:rPr>
          <w:rFonts w:eastAsia="仿宋_GB2312"/>
          <w:color w:val="000000"/>
          <w:sz w:val="32"/>
          <w:szCs w:val="32"/>
        </w:rPr>
        <w:t>团队人数不少于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eastAsia="仿宋_GB2312"/>
          <w:color w:val="000000"/>
          <w:sz w:val="32"/>
          <w:szCs w:val="32"/>
        </w:rPr>
        <w:t>人，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实践活动时间不少于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7日，</w:t>
      </w:r>
      <w:r>
        <w:rPr>
          <w:rFonts w:eastAsia="仿宋_GB2312"/>
          <w:color w:val="000000"/>
          <w:sz w:val="32"/>
          <w:szCs w:val="32"/>
        </w:rPr>
        <w:t>可跨年级、跨学科、跨学院进行组队，每支实践团队至少由1名指导老师牵头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指导</w:t>
      </w:r>
      <w:r>
        <w:rPr>
          <w:rFonts w:eastAsia="仿宋_GB2312"/>
          <w:color w:val="000000"/>
          <w:sz w:val="32"/>
          <w:szCs w:val="32"/>
        </w:rPr>
        <w:t>，并设立1名负责人。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请于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6月29日以前将3支队伍汇总表发至qztwxsb@163.com学少部邮箱。</w:t>
      </w:r>
    </w:p>
    <w:p>
      <w:pPr>
        <w:keepNext w:val="0"/>
        <w:keepLines w:val="0"/>
        <w:pageBreakBefore w:val="0"/>
        <w:widowControl w:val="0"/>
        <w:tabs>
          <w:tab w:val="left" w:pos="23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720" w:firstLineChars="225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1：“古城护遗 青年先行”泉州市大学生暑期社会实践专项行动遗产点或关联点安排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280" w:firstLineChars="400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2：“古城护遗 青年先行”泉州市大学生暑期社会实践专项行动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t>组队情况汇总表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280" w:firstLineChars="400"/>
        <w:jc w:val="both"/>
        <w:textAlignment w:val="auto"/>
        <w:outlineLvl w:val="9"/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          团市委学少部</w:t>
      </w: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        2017年6月23日</w:t>
      </w: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1</w:t>
      </w:r>
    </w:p>
    <w:p>
      <w:pPr>
        <w:tabs>
          <w:tab w:val="left" w:pos="2340"/>
        </w:tabs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shd w:val="clear" w:color="auto" w:fill="FFFFFF"/>
          <w:lang w:val="en-US" w:eastAsia="zh-CN"/>
        </w:rPr>
        <w:t>“古城护遗 青年先行”泉州市大学生暑期社会实践专项行动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shd w:val="clear" w:color="auto" w:fill="FFFFFF"/>
          <w:lang w:val="en-US" w:eastAsia="zh-CN"/>
        </w:rPr>
        <w:t>遗产点及关联点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shd w:val="clear" w:color="auto" w:fill="FFFFFF"/>
          <w:lang w:val="en-US" w:eastAsia="zh-CN"/>
        </w:rPr>
        <w:t>安排</w:t>
      </w:r>
    </w:p>
    <w:tbl>
      <w:tblPr>
        <w:tblStyle w:val="5"/>
        <w:tblpPr w:leftFromText="180" w:rightFromText="180" w:vertAnchor="text" w:horzAnchor="page" w:tblpX="1933" w:tblpY="621"/>
        <w:tblOverlap w:val="never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0"/>
        <w:gridCol w:w="4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0" w:type="dxa"/>
          </w:tcPr>
          <w:p>
            <w:pPr>
              <w:spacing w:line="600" w:lineRule="exact"/>
              <w:jc w:val="center"/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  <w:lang w:eastAsia="zh-CN"/>
              </w:rPr>
              <w:t>遗产点及关联点</w:t>
            </w:r>
          </w:p>
        </w:tc>
        <w:tc>
          <w:tcPr>
            <w:tcW w:w="4217" w:type="dxa"/>
          </w:tcPr>
          <w:p>
            <w:pPr>
              <w:spacing w:line="600" w:lineRule="exact"/>
              <w:jc w:val="center"/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  <w:t>开元寺、老君岩造像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华侨大学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伊斯兰教圣墓、清净寺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泉州师范学院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万寿塔、石湖码头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eastAsia="zh-CN"/>
              </w:rPr>
              <w:t>仰恩大学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六胜塔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闽南理工学院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泉州府文庙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泉州市信息工程学院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九日山祈风石刻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福建师范大学闽南科技学院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天后宫、德济门遗址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黎明职业大学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洛阳桥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泉州市医学高等专科学校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真武庙、江口码头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泉州幼儿师范高等专科学校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泉港</w:t>
            </w: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eastAsia="zh-CN"/>
              </w:rPr>
              <w:t>土坑村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泉州市经贸职业技术学院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eastAsia="zh-CN"/>
              </w:rPr>
              <w:t>德化梅岭窑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泉州工艺美术技术学院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eastAsia="zh-CN"/>
              </w:rPr>
              <w:t>磁灶窑系金交椅山窑址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福建电力职业技术学院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</w:rPr>
              <w:t>草庵摩尼光佛造像</w:t>
            </w:r>
          </w:p>
        </w:tc>
        <w:tc>
          <w:tcPr>
            <w:tcW w:w="4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color w:val="00000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泉州市理工职业学院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88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eastAsia="zh-CN"/>
              </w:rPr>
              <w:t>备注：每所学校至少组织</w:t>
            </w: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3支实践队伍。各学校根据以上安排表，组织</w:t>
            </w:r>
            <w:bookmarkStart w:id="1" w:name="_GoBack"/>
            <w:bookmarkEnd w:id="1"/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实践队伍在完成本校对应遗产点或关联点的基础上，可选择其他遗产点或关联点开展实践活动。无安排遗产点或关联点的学校，根据实际情况自行选择遗产点或关联点开展实践活动。</w:t>
            </w:r>
          </w:p>
        </w:tc>
      </w:tr>
    </w:tbl>
    <w:p>
      <w:pPr>
        <w:shd w:val="clear" w:color="auto" w:fill="FFFFFF"/>
        <w:spacing w:line="600" w:lineRule="exact"/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2340"/>
        </w:tabs>
        <w:ind w:firstLine="720" w:firstLineChars="225"/>
        <w:rPr>
          <w:rFonts w:hint="eastAsia" w:eastAsia="仿宋_GB2312"/>
          <w:color w:val="000000"/>
          <w:sz w:val="32"/>
          <w:szCs w:val="32"/>
          <w:shd w:val="clear" w:color="auto" w:fill="FFFFFF"/>
        </w:rPr>
      </w:pPr>
    </w:p>
    <w:p>
      <w:pPr>
        <w:tabs>
          <w:tab w:val="left" w:pos="2340"/>
        </w:tabs>
        <w:ind w:firstLine="720" w:firstLineChars="225"/>
        <w:rPr>
          <w:rFonts w:hint="eastAsia" w:eastAsia="仿宋_GB2312"/>
          <w:color w:val="000000"/>
          <w:sz w:val="32"/>
          <w:szCs w:val="32"/>
          <w:shd w:val="clear" w:color="auto" w:fill="FFFFFF"/>
        </w:rPr>
      </w:pPr>
    </w:p>
    <w:p>
      <w:pPr>
        <w:tabs>
          <w:tab w:val="left" w:pos="2340"/>
        </w:tabs>
        <w:ind w:firstLine="720" w:firstLineChars="225"/>
        <w:rPr>
          <w:rFonts w:hint="eastAsia" w:eastAsia="仿宋_GB2312"/>
          <w:color w:val="000000"/>
          <w:sz w:val="32"/>
          <w:szCs w:val="32"/>
          <w:shd w:val="clear" w:color="auto" w:fill="FFFFFF"/>
        </w:rPr>
      </w:pPr>
    </w:p>
    <w:p>
      <w:pPr>
        <w:tabs>
          <w:tab w:val="left" w:pos="2340"/>
        </w:tabs>
        <w:ind w:firstLine="720" w:firstLineChars="225"/>
        <w:rPr>
          <w:rFonts w:hint="eastAsia" w:eastAsia="仿宋_GB2312"/>
          <w:color w:val="000000"/>
          <w:sz w:val="32"/>
          <w:szCs w:val="32"/>
          <w:shd w:val="clear" w:color="auto" w:fill="FFFFFF"/>
        </w:rPr>
      </w:pPr>
    </w:p>
    <w:p>
      <w:pPr>
        <w:tabs>
          <w:tab w:val="left" w:pos="2340"/>
        </w:tabs>
        <w:ind w:firstLine="720" w:firstLineChars="225"/>
        <w:rPr>
          <w:rFonts w:hint="eastAsia" w:eastAsia="仿宋_GB2312"/>
          <w:color w:val="000000"/>
          <w:sz w:val="32"/>
          <w:szCs w:val="32"/>
          <w:shd w:val="clear" w:color="auto" w:fill="FFFFFF"/>
        </w:rPr>
      </w:pPr>
    </w:p>
    <w:p>
      <w:pPr>
        <w:tabs>
          <w:tab w:val="left" w:pos="2340"/>
        </w:tabs>
        <w:ind w:firstLine="720" w:firstLineChars="225"/>
        <w:rPr>
          <w:rFonts w:hint="eastAsia" w:eastAsia="仿宋_GB2312"/>
          <w:color w:val="000000"/>
          <w:sz w:val="32"/>
          <w:szCs w:val="32"/>
          <w:shd w:val="clear" w:color="auto" w:fill="FFFFFF"/>
        </w:rPr>
      </w:pPr>
    </w:p>
    <w:p>
      <w:pPr>
        <w:tabs>
          <w:tab w:val="left" w:pos="2340"/>
        </w:tabs>
        <w:rPr>
          <w:rFonts w:hint="eastAsia" w:eastAsia="仿宋_GB2312"/>
          <w:color w:val="000000"/>
          <w:sz w:val="32"/>
          <w:szCs w:val="32"/>
          <w:shd w:val="clear" w:color="auto" w:fill="FFFFFF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240" w:lineRule="auto"/>
        <w:ind w:firstLine="0" w:firstLineChars="0"/>
        <w:rPr>
          <w:rFonts w:ascii="Times New Roman"/>
        </w:rPr>
      </w:pPr>
      <w:r>
        <w:rPr>
          <w:rFonts w:ascii="Times New Roman" w:eastAsia="黑体"/>
        </w:rPr>
        <w:t>附件</w:t>
      </w:r>
      <w:r>
        <w:rPr>
          <w:rFonts w:hint="eastAsia" w:ascii="Times New Roman" w:eastAsia="黑体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shd w:val="clear" w:color="auto" w:fill="FFFFFF"/>
          <w:lang w:val="en-US" w:eastAsia="zh-CN"/>
        </w:rPr>
        <w:t>“古城护遗 青年先行”泉州市大学生暑期社会实践专项行动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组队情况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汇总表</w:t>
      </w:r>
    </w:p>
    <w:tbl>
      <w:tblPr>
        <w:tblStyle w:val="4"/>
        <w:tblpPr w:leftFromText="180" w:rightFromText="180" w:vertAnchor="text" w:horzAnchor="page" w:tblpX="1433" w:tblpY="566"/>
        <w:tblOverlap w:val="never"/>
        <w:tblW w:w="14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331"/>
        <w:gridCol w:w="3282"/>
        <w:gridCol w:w="956"/>
        <w:gridCol w:w="2081"/>
        <w:gridCol w:w="1556"/>
        <w:gridCol w:w="994"/>
        <w:gridCol w:w="1913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1001" w:type="dxa"/>
            <w:vAlign w:val="center"/>
          </w:tcPr>
          <w:p>
            <w:pPr>
              <w:spacing w:line="600" w:lineRule="exact"/>
              <w:jc w:val="both"/>
              <w:rPr>
                <w:rFonts w:hint="eastAsia" w:eastAsia="仿宋_GB2312"/>
                <w:b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1331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学校</w:t>
            </w:r>
          </w:p>
        </w:tc>
        <w:tc>
          <w:tcPr>
            <w:tcW w:w="328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团队名称</w:t>
            </w:r>
          </w:p>
        </w:tc>
        <w:tc>
          <w:tcPr>
            <w:tcW w:w="95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团队</w:t>
            </w:r>
          </w:p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人数</w:t>
            </w:r>
          </w:p>
        </w:tc>
        <w:tc>
          <w:tcPr>
            <w:tcW w:w="208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实践活动起止日期/天数</w:t>
            </w:r>
          </w:p>
        </w:tc>
        <w:tc>
          <w:tcPr>
            <w:tcW w:w="155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  <w:lang w:eastAsia="zh-CN"/>
              </w:rPr>
              <w:t>申遗点或关联点</w:t>
            </w:r>
          </w:p>
        </w:tc>
        <w:tc>
          <w:tcPr>
            <w:tcW w:w="99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团长</w:t>
            </w:r>
          </w:p>
        </w:tc>
        <w:tc>
          <w:tcPr>
            <w:tcW w:w="191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联系方式</w:t>
            </w:r>
          </w:p>
        </w:tc>
        <w:tc>
          <w:tcPr>
            <w:tcW w:w="116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z w:val="32"/>
                <w:szCs w:val="32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01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>1</w:t>
            </w:r>
          </w:p>
        </w:tc>
        <w:tc>
          <w:tcPr>
            <w:tcW w:w="1331" w:type="dxa"/>
            <w:vAlign w:val="top"/>
          </w:tcPr>
          <w:p>
            <w:pPr>
              <w:spacing w:line="6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3282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56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556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913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162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01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>2</w:t>
            </w:r>
          </w:p>
        </w:tc>
        <w:tc>
          <w:tcPr>
            <w:tcW w:w="1331" w:type="dxa"/>
            <w:vAlign w:val="top"/>
          </w:tcPr>
          <w:p>
            <w:pPr>
              <w:spacing w:line="6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3282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56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556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913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162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01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>3</w:t>
            </w:r>
          </w:p>
        </w:tc>
        <w:tc>
          <w:tcPr>
            <w:tcW w:w="1331" w:type="dxa"/>
            <w:vAlign w:val="top"/>
          </w:tcPr>
          <w:p>
            <w:pPr>
              <w:spacing w:line="6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3282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56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556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913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  <w:tc>
          <w:tcPr>
            <w:tcW w:w="1162" w:type="dxa"/>
            <w:vAlign w:val="top"/>
          </w:tcPr>
          <w:p>
            <w:pPr>
              <w:spacing w:line="700" w:lineRule="exact"/>
              <w:rPr>
                <w:rFonts w:eastAsia="仿宋_GB2312"/>
                <w:color w:val="000000"/>
                <w:sz w:val="30"/>
                <w:szCs w:val="30"/>
              </w:rPr>
            </w:pPr>
          </w:p>
        </w:tc>
      </w:tr>
    </w:tbl>
    <w:p>
      <w:pPr>
        <w:tabs>
          <w:tab w:val="left" w:pos="2340"/>
        </w:tabs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/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2503E"/>
    <w:multiLevelType w:val="multilevel"/>
    <w:tmpl w:val="3A32503E"/>
    <w:lvl w:ilvl="0" w:tentative="0">
      <w:start w:val="1"/>
      <w:numFmt w:val="japaneseCounting"/>
      <w:lvlText w:val="%1、"/>
      <w:lvlJc w:val="left"/>
      <w:pPr>
        <w:tabs>
          <w:tab w:val="left" w:pos="1360"/>
        </w:tabs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60134"/>
    <w:rsid w:val="0C1409EF"/>
    <w:rsid w:val="0DA07B0F"/>
    <w:rsid w:val="3C360134"/>
    <w:rsid w:val="634C5E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00" w:lineRule="exact"/>
      <w:ind w:firstLine="640" w:firstLineChars="200"/>
    </w:pPr>
    <w:rPr>
      <w:rFonts w:ascii="仿宋_GB2312" w:eastAsia="仿宋_GB2312"/>
      <w:sz w:val="32"/>
      <w:szCs w:val="32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2017-06-23T00:27:00Z</dcterms:created>
  <dc:creator>Administrator</dc:creator>
  <cp:lastModifiedBy>Administrator</cp:lastModifiedBy>
  <dcterms:modified xsi:type="dcterms:W3CDTF">2017-06-23T00:43:30Z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