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Lines="200"/>
        <w:ind w:right="-1680" w:rightChars="-800"/>
        <w:jc w:val="left"/>
        <w:rPr>
          <w:rFonts w:ascii="方正小标宋简体" w:eastAsia="方正小标宋简体"/>
          <w:b w:val="0"/>
          <w:spacing w:val="120"/>
          <w:w w:val="100"/>
          <w:sz w:val="120"/>
          <w:szCs w:val="120"/>
        </w:rPr>
      </w:pPr>
      <w:r>
        <w:rPr>
          <w:w w:val="80"/>
          <w:sz w:val="120"/>
        </w:rPr>
        <w:pict>
          <v:shape id="_x0000_s1026" o:spid="_x0000_s1026" o:spt="175" type="#_x0000_t175" style="position:absolute;left:0pt;margin-left:0.2pt;margin-top:99.4pt;height:59.55pt;width:437.9pt;z-index:251657216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实验室与设备管理中心文件" style="font-family:方正小标宋简体;font-size:36pt;v-text-align:stretch-justify;"/>
          </v:shape>
        </w:pict>
      </w:r>
    </w:p>
    <w:p>
      <w:pPr>
        <w:spacing w:line="340" w:lineRule="exact"/>
        <w:jc w:val="center"/>
        <w:rPr>
          <w:rFonts w:ascii="仿宋_GB2312" w:eastAsia="仿宋_GB2312"/>
          <w:sz w:val="32"/>
          <w:szCs w:val="32"/>
        </w:rPr>
      </w:pPr>
      <w:bookmarkStart w:id="0" w:name="wcurFileNO"/>
      <w:bookmarkEnd w:id="0"/>
    </w:p>
    <w:p>
      <w:pPr>
        <w:tabs>
          <w:tab w:val="left" w:pos="7513"/>
        </w:tabs>
        <w:ind w:right="183" w:rightChars="87"/>
        <w:jc w:val="center"/>
        <w:rPr>
          <w:rFonts w:ascii="仿宋_GB2312" w:eastAsia="仿宋_GB2312"/>
          <w:sz w:val="32"/>
        </w:rPr>
      </w:pPr>
      <w:bookmarkStart w:id="1" w:name="文件编号"/>
      <w:r>
        <w:rPr>
          <w:rFonts w:hint="eastAsia" w:ascii="仿宋_GB2312" w:eastAsia="仿宋_GB2312"/>
          <w:sz w:val="32"/>
        </w:rPr>
        <w:t>实验设备〔</w:t>
      </w:r>
      <w:r>
        <w:rPr>
          <w:rFonts w:ascii="仿宋_GB2312" w:eastAsia="仿宋_GB2312"/>
          <w:sz w:val="32"/>
        </w:rPr>
        <w:t>2018</w:t>
      </w:r>
      <w:r>
        <w:rPr>
          <w:rFonts w:hint="eastAsia" w:ascii="仿宋_GB2312" w:eastAsia="仿宋_GB2312"/>
          <w:sz w:val="32"/>
        </w:rPr>
        <w:t>〕</w:t>
      </w:r>
      <w:bookmarkEnd w:id="1"/>
      <w:r>
        <w:rPr>
          <w:rFonts w:hint="eastAsia" w:ascii="仿宋_GB2312" w:eastAsia="仿宋_GB2312"/>
          <w:sz w:val="32"/>
        </w:rPr>
        <w:t>7号</w:t>
      </w:r>
    </w:p>
    <w:p>
      <w:pPr>
        <w:pStyle w:val="9"/>
        <w:spacing w:line="540" w:lineRule="exact"/>
        <w:jc w:val="both"/>
        <w:rPr>
          <w:rFonts w:ascii="仿宋_GB2312" w:hAnsi="微软雅黑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微软雅黑" w:eastAsia="仿宋_GB2312" w:cs="宋体"/>
          <w:color w:val="000000"/>
          <w:kern w:val="0"/>
          <w:sz w:val="32"/>
          <w:szCs w:val="32"/>
        </w:rPr>
        <w:pict>
          <v:shape id="自选图形 3" o:spid="_x0000_s1029" o:spt="32" type="#_x0000_t32" style="position:absolute;left:0pt;margin-left:-2.25pt;margin-top:3.65pt;height:0.05pt;width:436.55pt;mso-position-horizontal-relative:margin;z-index:251656192;mso-width-relative:page;mso-height-relative:page;" filled="f" stroked="t" coordsize="21600,21600" o:gfxdata="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Qk+ZX9QAAAAGAQAA&#10;DwAAAAAAAAABACAAAAAiAAAAZHJzL2Rvd25yZXYueG1sUEsBAhQAFAAAAAgAh07iQFIvJXHkAQAA&#10;pwMAAA4AAAAAAAAAAQAgAAAAIwEAAGRycy9lMm9Eb2MueG1sUEsFBgAAAAAGAAYAWQEAAHkFAAAA&#10;AA==&#10;">
            <v:path arrowok="t"/>
            <v:fill on="f" focussize="0,0"/>
            <v:stroke weight="2.83464566929134pt" color="#FF0000"/>
            <v:imagedata o:title=""/>
            <o:lock v:ext="edit"/>
          </v:shape>
        </w:pic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关于印发泉州师范学院实验废弃物暂存柜</w:t>
      </w:r>
    </w:p>
    <w:p>
      <w:pPr>
        <w:widowControl/>
        <w:snapToGrid w:val="0"/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运行管理细则的通知</w:t>
      </w:r>
    </w:p>
    <w:p>
      <w:pPr>
        <w:spacing w:line="520" w:lineRule="exac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各二级学院：</w:t>
      </w:r>
    </w:p>
    <w:p>
      <w:pPr>
        <w:widowControl/>
        <w:spacing w:before="100" w:beforeAutospacing="1" w:after="100" w:afterAutospacing="1" w:line="387" w:lineRule="atLeast"/>
        <w:ind w:firstLine="640" w:firstLineChars="200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为规范我校实验废弃物暂存柜（以下简称“暂存柜”）的管理和安全运转，依据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《泉州师范学院危险化学品安全管理办法》，制定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《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泉州师范学院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实验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废弃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物暂存柜运行管理细则》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，现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印发给你们，请遵照执行。</w:t>
      </w:r>
    </w:p>
    <w:p>
      <w:pPr>
        <w:spacing w:line="520" w:lineRule="exact"/>
        <w:ind w:firstLine="4640" w:firstLineChars="1450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实验室与设备管理中心</w:t>
      </w:r>
    </w:p>
    <w:p>
      <w:pPr>
        <w:spacing w:line="520" w:lineRule="exact"/>
        <w:ind w:right="578" w:firstLine="320" w:firstLineChars="100"/>
        <w:jc w:val="center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 xml:space="preserve">                         2018年12月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日</w:t>
      </w:r>
    </w:p>
    <w:p>
      <w:pPr>
        <w:widowControl/>
        <w:spacing w:before="100" w:beforeAutospacing="1" w:after="100" w:afterAutospacing="1" w:line="360" w:lineRule="auto"/>
        <w:jc w:val="center"/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21"/>
          <w:sz w:val="44"/>
          <w:szCs w:val="44"/>
          <w:shd w:val="clear" w:color="auto" w:fill="FFFFFF"/>
        </w:rPr>
        <w:t>泉州师范学院实验废弃物暂存柜运行管理细则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第一条 暂存柜是各教学科研单位储存实验室产生的各类废液、废固的装置，有助于提升存储的安全性，并便于依法依规实施统一集中处置，暂存柜不得存放不明成分的废弃物或与之无关的任何其它物品。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第二条 各相关学院应有一名领导负责实验废弃物的管理工作，落实安全责任制。各实验室指定专人负责实验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废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弃物的分类、收集、存放、登记台帐等日常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管理工作。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第三条</w:t>
      </w:r>
      <w: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实验室应根据实验废弃物的类别、特性，分类收集到废弃物专用收集容器中（收集容器为塑料周转箱、耐酸碱废液桶、纸箱和编织袋等），容器外张贴实验废弃物标签，详细填写标签中的主要成分、化学名称、安全措施、危险情况、产生单位、地址、联系人及方式、入库批号、数量和入库日期等各项内容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第四条 收集实验废弃物时严禁废液桶漏液、充装太满(容器顶部与液体表面之间应保留100毫米以上空间)，或密封不严；严禁将不相容性的化学品混装、固液混装；严禁将实验废弃物与生活垃圾混装等，出现以上情况不予回收处置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第五条 剧毒废弃物、放射性废弃物和感染性废弃物，不得存入暂存柜。各单位将其暂存到本单位的保险柜内，并上报剧毒物的名称及重量，待转移批文办妥后再统一收集、处置。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第六条 实验废弃物转入暂存柜前，实验废弃物管理员须对废弃物类别、重量、数量等进行核实，按要求填写《泉州师范学院实验废弃物入库记录表》。若未如实填报，不予回收处置。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第七条 人员进入暂存柜应穿戴相应防护衣物及其它必要的防护用具。转运废弃物过程中要轻拿轻放，防止撞击和倾倒，未经许可无关人员不得进入废弃物贮存区域。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第八条 实验废弃物进入暂存柜时，须先打开柜门，通风十分钟以上方可进入。每次须两人以上共同处理废弃物出入库，且保证有一人在暂存柜外等候。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第九条 各相关学院应制定实验废弃物暂存的应急处置措施。如发生废弃物遗失、泄漏、扩散等意外事故时，采取相应的应急处置措施，并立即向实验室与设备管理中心、保卫处汇报。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第十条  各相关学院必须按本实施细则规范操作。对违反本细则随意倾倒、堆放危险废弃物引起严重后果者，一经查实将严肃追究相关责任人的责任。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  <w:t>第十一条  本细则由实验室与设备管理中心负责解释，自公布之日起执行。</w:t>
      </w: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 w:line="387" w:lineRule="atLeast"/>
        <w:ind w:firstLine="620" w:firstLineChars="194"/>
        <w:jc w:val="left"/>
        <w:rPr>
          <w:rFonts w:hint="eastAsia"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</w:p>
    <w:p>
      <w:pPr>
        <w:spacing w:line="520" w:lineRule="exact"/>
        <w:rPr>
          <w:rFonts w:ascii="仿宋GB2312" w:hAnsi="仿宋GB2312" w:eastAsia="仿宋GB2312" w:cs="仿宋GB2312"/>
          <w:sz w:val="28"/>
          <w:szCs w:val="28"/>
        </w:rPr>
      </w:pPr>
      <w:r>
        <w:rPr>
          <w:rFonts w:ascii="仿宋GB2312" w:hAnsi="仿宋GB2312" w:eastAsia="仿宋GB2312" w:cs="仿宋GB2312"/>
          <w:sz w:val="32"/>
          <w:szCs w:val="32"/>
        </w:rPr>
        <w:pict>
          <v:line id="Line 3" o:spid="_x0000_s1030" o:spt="20" style="position:absolute;left:0pt;flip:y;margin-left:0.45pt;margin-top:23.2pt;height:4.2pt;width:431.25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GB2312" w:hAnsi="仿宋GB2312" w:eastAsia="仿宋GB2312" w:cs="仿宋GB2312"/>
          <w:sz w:val="28"/>
          <w:szCs w:val="28"/>
        </w:rPr>
        <w:t xml:space="preserve">   </w:t>
      </w:r>
    </w:p>
    <w:p>
      <w:pPr>
        <w:spacing w:line="520" w:lineRule="exact"/>
        <w:ind w:firstLine="280" w:firstLineChars="100"/>
        <w:rPr>
          <w:rFonts w:ascii="仿宋GB2312" w:hAnsi="仿宋GB2312" w:eastAsia="仿宋GB2312" w:cs="仿宋GB2312"/>
          <w:sz w:val="28"/>
          <w:szCs w:val="28"/>
        </w:rPr>
      </w:pPr>
      <w:r>
        <w:rPr>
          <w:rFonts w:hint="eastAsia" w:ascii="仿宋GB2312" w:hAnsi="仿宋GB2312" w:eastAsia="仿宋GB2312" w:cs="仿宋GB2312"/>
          <w:sz w:val="28"/>
          <w:szCs w:val="28"/>
        </w:rPr>
        <w:t>实验室与设备管理中心                   2018年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12</w:t>
      </w:r>
      <w:r>
        <w:rPr>
          <w:rFonts w:hint="eastAsia" w:ascii="仿宋GB2312" w:hAnsi="仿宋GB2312" w:eastAsia="仿宋GB2312" w:cs="仿宋GB2312"/>
          <w:sz w:val="28"/>
          <w:szCs w:val="28"/>
        </w:rPr>
        <w:t>月</w:t>
      </w:r>
      <w:r>
        <w:rPr>
          <w:rFonts w:hint="eastAsia" w:ascii="仿宋GB2312" w:hAnsi="仿宋GB2312" w:eastAsia="仿宋GB2312" w:cs="仿宋GB2312"/>
          <w:sz w:val="28"/>
          <w:szCs w:val="28"/>
          <w:lang w:val="en-US" w:eastAsia="zh-CN"/>
        </w:rPr>
        <w:t>7</w:t>
      </w:r>
      <w:r>
        <w:rPr>
          <w:rFonts w:hint="eastAsia" w:ascii="仿宋GB2312" w:hAnsi="仿宋GB2312" w:eastAsia="仿宋GB2312" w:cs="仿宋GB2312"/>
          <w:sz w:val="28"/>
          <w:szCs w:val="28"/>
        </w:rPr>
        <w:t xml:space="preserve">日印发   </w:t>
      </w:r>
    </w:p>
    <w:p>
      <w:pPr>
        <w:spacing w:line="520" w:lineRule="exact"/>
        <w:rPr>
          <w:rFonts w:ascii="仿宋_GB2312" w:hAnsi="仿宋_GB2312" w:eastAsia="仿宋_GB2312" w:cs="仿宋_GB2312"/>
          <w:kern w:val="21"/>
          <w:sz w:val="32"/>
          <w:szCs w:val="32"/>
          <w:shd w:val="clear" w:color="auto" w:fill="FFFFFF"/>
        </w:rPr>
      </w:pPr>
      <w:r>
        <w:rPr>
          <w:rFonts w:ascii="仿宋GB2312" w:hAnsi="仿宋GB2312" w:eastAsia="仿宋GB2312" w:cs="仿宋GB2312"/>
          <w:sz w:val="28"/>
          <w:szCs w:val="28"/>
        </w:rPr>
        <w:pict>
          <v:line id="Line 4" o:spid="_x0000_s1031" o:spt="20" style="position:absolute;left:0pt;flip:y;margin-left:-1.8pt;margin-top:3.45pt;height:3.45pt;width:434.25pt;z-index:251658240;mso-width-relative:page;mso-height-relative:page;" coordsize="21600,21600" o:gfxdata="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Ivi&#10;bB7UAAAABQEAAA8AAAAAAAAAAQAgAAAAIgAAAGRycy9kb3ducmV2LnhtbFBLAQIUABQAAAAIAIdO&#10;4kAoOKv+7gEAAOgDAAAOAAAAAAAAAAEAIAAAACMBAABkcnMvZTJvRG9jLnhtbFBLBQYAAAAABgAG&#10;AFkBAACDBQAAAAA=&#10;">
            <v:path arrowok="t"/>
            <v:fill focussize="0,0"/>
            <v:stroke/>
            <v:imagedata o:title=""/>
            <o:lock v:ext="edit"/>
          </v:line>
        </w:pict>
      </w: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0oPwUrcBAABVAwAADgAAAAAAAAABACAAAAAiAQAAZHJzL2Uyb0RvYy54bWxQSwUGAAAAAAYA&#10;BgBZAQAASwUAAAAA&#10;">
          <v:path/>
          <v:fill on="f" focussize="0,0"/>
          <v:stroke on="f" weight="1.2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- 3 -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4707"/>
    <w:rsid w:val="0001763F"/>
    <w:rsid w:val="00027F32"/>
    <w:rsid w:val="0003623B"/>
    <w:rsid w:val="00037848"/>
    <w:rsid w:val="00062ECC"/>
    <w:rsid w:val="0008629D"/>
    <w:rsid w:val="000A7400"/>
    <w:rsid w:val="000C7A2A"/>
    <w:rsid w:val="000D49BD"/>
    <w:rsid w:val="001038BD"/>
    <w:rsid w:val="001202A6"/>
    <w:rsid w:val="00124D32"/>
    <w:rsid w:val="00131B3C"/>
    <w:rsid w:val="001703AE"/>
    <w:rsid w:val="00176685"/>
    <w:rsid w:val="00191BE3"/>
    <w:rsid w:val="00193C38"/>
    <w:rsid w:val="00193D23"/>
    <w:rsid w:val="001C084A"/>
    <w:rsid w:val="001D7112"/>
    <w:rsid w:val="00212094"/>
    <w:rsid w:val="00213FDB"/>
    <w:rsid w:val="00252E74"/>
    <w:rsid w:val="00284C21"/>
    <w:rsid w:val="0029363B"/>
    <w:rsid w:val="002B2A0C"/>
    <w:rsid w:val="00310946"/>
    <w:rsid w:val="00330AC4"/>
    <w:rsid w:val="00335E9B"/>
    <w:rsid w:val="003B4D54"/>
    <w:rsid w:val="003C542A"/>
    <w:rsid w:val="00450402"/>
    <w:rsid w:val="00466A6C"/>
    <w:rsid w:val="00481F97"/>
    <w:rsid w:val="004D4B32"/>
    <w:rsid w:val="005106D9"/>
    <w:rsid w:val="00515404"/>
    <w:rsid w:val="00544B4F"/>
    <w:rsid w:val="005B1576"/>
    <w:rsid w:val="005F50C5"/>
    <w:rsid w:val="0061604C"/>
    <w:rsid w:val="0062123A"/>
    <w:rsid w:val="00647FE3"/>
    <w:rsid w:val="0069243C"/>
    <w:rsid w:val="006B6E4F"/>
    <w:rsid w:val="006D4707"/>
    <w:rsid w:val="00701DD9"/>
    <w:rsid w:val="00722A65"/>
    <w:rsid w:val="00734F83"/>
    <w:rsid w:val="00765F85"/>
    <w:rsid w:val="00772989"/>
    <w:rsid w:val="0079701B"/>
    <w:rsid w:val="007A2695"/>
    <w:rsid w:val="007F2880"/>
    <w:rsid w:val="008079F2"/>
    <w:rsid w:val="00822759"/>
    <w:rsid w:val="00823817"/>
    <w:rsid w:val="00857B8E"/>
    <w:rsid w:val="0089599B"/>
    <w:rsid w:val="008B07A6"/>
    <w:rsid w:val="009057DA"/>
    <w:rsid w:val="009059A0"/>
    <w:rsid w:val="00917A4B"/>
    <w:rsid w:val="00971193"/>
    <w:rsid w:val="009778C7"/>
    <w:rsid w:val="00990DD6"/>
    <w:rsid w:val="0099587C"/>
    <w:rsid w:val="009A3F19"/>
    <w:rsid w:val="009C4E5C"/>
    <w:rsid w:val="009E247D"/>
    <w:rsid w:val="009E48AB"/>
    <w:rsid w:val="00A13882"/>
    <w:rsid w:val="00A2490A"/>
    <w:rsid w:val="00A322CE"/>
    <w:rsid w:val="00A3341D"/>
    <w:rsid w:val="00A51D2D"/>
    <w:rsid w:val="00B33636"/>
    <w:rsid w:val="00B4331E"/>
    <w:rsid w:val="00B85B73"/>
    <w:rsid w:val="00BB07C7"/>
    <w:rsid w:val="00BD7DB7"/>
    <w:rsid w:val="00C042EA"/>
    <w:rsid w:val="00C50A53"/>
    <w:rsid w:val="00C9058A"/>
    <w:rsid w:val="00C9328E"/>
    <w:rsid w:val="00C94051"/>
    <w:rsid w:val="00CA3100"/>
    <w:rsid w:val="00D272F8"/>
    <w:rsid w:val="00D326F9"/>
    <w:rsid w:val="00D37C54"/>
    <w:rsid w:val="00D65E63"/>
    <w:rsid w:val="00D83C25"/>
    <w:rsid w:val="00E07109"/>
    <w:rsid w:val="00E3095C"/>
    <w:rsid w:val="00E31EE7"/>
    <w:rsid w:val="00E63FC1"/>
    <w:rsid w:val="00E74A0C"/>
    <w:rsid w:val="00EA074D"/>
    <w:rsid w:val="00EA1E28"/>
    <w:rsid w:val="00EC29CD"/>
    <w:rsid w:val="00EF2BC3"/>
    <w:rsid w:val="00F274DB"/>
    <w:rsid w:val="00F35C35"/>
    <w:rsid w:val="00F60F9B"/>
    <w:rsid w:val="00F6129E"/>
    <w:rsid w:val="00F819C2"/>
    <w:rsid w:val="00FA185F"/>
    <w:rsid w:val="00FA6B45"/>
    <w:rsid w:val="00FF7F9D"/>
    <w:rsid w:val="01180A5C"/>
    <w:rsid w:val="01F47039"/>
    <w:rsid w:val="02E17AB0"/>
    <w:rsid w:val="054E6F12"/>
    <w:rsid w:val="06324A31"/>
    <w:rsid w:val="071B031B"/>
    <w:rsid w:val="0796457E"/>
    <w:rsid w:val="093331C1"/>
    <w:rsid w:val="09C17B77"/>
    <w:rsid w:val="0B995447"/>
    <w:rsid w:val="0CAF7751"/>
    <w:rsid w:val="0DF16BA4"/>
    <w:rsid w:val="108D4565"/>
    <w:rsid w:val="12667A99"/>
    <w:rsid w:val="130D7A03"/>
    <w:rsid w:val="138921C2"/>
    <w:rsid w:val="13AB6DD5"/>
    <w:rsid w:val="14C65AD7"/>
    <w:rsid w:val="177C1ED8"/>
    <w:rsid w:val="1A047000"/>
    <w:rsid w:val="1B661514"/>
    <w:rsid w:val="1C656DB4"/>
    <w:rsid w:val="1CFC542E"/>
    <w:rsid w:val="1ED213F1"/>
    <w:rsid w:val="219C073F"/>
    <w:rsid w:val="222A555F"/>
    <w:rsid w:val="222B5197"/>
    <w:rsid w:val="2293628D"/>
    <w:rsid w:val="269B1F3A"/>
    <w:rsid w:val="26B34070"/>
    <w:rsid w:val="29BC0B25"/>
    <w:rsid w:val="2A5D68FB"/>
    <w:rsid w:val="2C5C5B0A"/>
    <w:rsid w:val="2C811EB8"/>
    <w:rsid w:val="2D047420"/>
    <w:rsid w:val="2D8301B4"/>
    <w:rsid w:val="2E3F5B1B"/>
    <w:rsid w:val="2E8C14E5"/>
    <w:rsid w:val="2EF83EDC"/>
    <w:rsid w:val="2F7E0852"/>
    <w:rsid w:val="301B3E17"/>
    <w:rsid w:val="31442DBA"/>
    <w:rsid w:val="32BE1420"/>
    <w:rsid w:val="361B6A4E"/>
    <w:rsid w:val="36A135AA"/>
    <w:rsid w:val="3BE00D16"/>
    <w:rsid w:val="3BED558A"/>
    <w:rsid w:val="3E563143"/>
    <w:rsid w:val="3EBD5031"/>
    <w:rsid w:val="3ECF7851"/>
    <w:rsid w:val="3F2A0CE5"/>
    <w:rsid w:val="41EA56F1"/>
    <w:rsid w:val="43A055AB"/>
    <w:rsid w:val="450A5A20"/>
    <w:rsid w:val="4559660A"/>
    <w:rsid w:val="462B0BAC"/>
    <w:rsid w:val="462C4C8C"/>
    <w:rsid w:val="46724EDF"/>
    <w:rsid w:val="47434F40"/>
    <w:rsid w:val="4B76718C"/>
    <w:rsid w:val="4C954009"/>
    <w:rsid w:val="4CF20B4C"/>
    <w:rsid w:val="4EB31CDC"/>
    <w:rsid w:val="50ED01D5"/>
    <w:rsid w:val="5132180E"/>
    <w:rsid w:val="51F95917"/>
    <w:rsid w:val="5382751C"/>
    <w:rsid w:val="53EC379D"/>
    <w:rsid w:val="54D270F6"/>
    <w:rsid w:val="56BA4475"/>
    <w:rsid w:val="57A76DBE"/>
    <w:rsid w:val="588764CF"/>
    <w:rsid w:val="5B2975B6"/>
    <w:rsid w:val="5D0A6D97"/>
    <w:rsid w:val="5EE2487D"/>
    <w:rsid w:val="5FF10053"/>
    <w:rsid w:val="63747D84"/>
    <w:rsid w:val="63A66CE3"/>
    <w:rsid w:val="645B1263"/>
    <w:rsid w:val="647771AE"/>
    <w:rsid w:val="65B25666"/>
    <w:rsid w:val="66385942"/>
    <w:rsid w:val="66D679AD"/>
    <w:rsid w:val="66E266B6"/>
    <w:rsid w:val="684706E8"/>
    <w:rsid w:val="6AC669EA"/>
    <w:rsid w:val="6BAD0C0C"/>
    <w:rsid w:val="6BB30D04"/>
    <w:rsid w:val="7120647C"/>
    <w:rsid w:val="725712A6"/>
    <w:rsid w:val="72EB66DE"/>
    <w:rsid w:val="73080081"/>
    <w:rsid w:val="73517B98"/>
    <w:rsid w:val="74FE444F"/>
    <w:rsid w:val="7583692D"/>
    <w:rsid w:val="78C138EE"/>
    <w:rsid w:val="790668C1"/>
    <w:rsid w:val="79CF22B4"/>
    <w:rsid w:val="7A125641"/>
    <w:rsid w:val="7B956906"/>
    <w:rsid w:val="7E3A0925"/>
    <w:rsid w:val="7E8B1ECF"/>
    <w:rsid w:val="7F557D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发文字号"/>
    <w:basedOn w:val="1"/>
    <w:qFormat/>
    <w:uiPriority w:val="0"/>
    <w:pPr>
      <w:jc w:val="center"/>
    </w:pPr>
    <w:rPr>
      <w:rFonts w:ascii="仿宋" w:hAnsi="仿宋" w:eastAsia="仿宋"/>
      <w:sz w:val="30"/>
      <w:szCs w:val="30"/>
    </w:rPr>
  </w:style>
  <w:style w:type="paragraph" w:customStyle="1" w:styleId="10">
    <w:name w:val="红头发文机关标识"/>
    <w:basedOn w:val="1"/>
    <w:qFormat/>
    <w:uiPriority w:val="0"/>
    <w:pPr>
      <w:spacing w:before="1418"/>
      <w:jc w:val="center"/>
    </w:pPr>
    <w:rPr>
      <w:rFonts w:ascii="宋体" w:hAnsi="宋体"/>
      <w:b/>
      <w:color w:val="FF0000"/>
      <w:spacing w:val="80"/>
      <w:w w:val="88"/>
      <w:sz w:val="9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B81567-BD16-4715-9C03-4CEB0595C4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185</Words>
  <Characters>1060</Characters>
  <Lines>8</Lines>
  <Paragraphs>2</Paragraphs>
  <TotalTime>2</TotalTime>
  <ScaleCrop>false</ScaleCrop>
  <LinksUpToDate>false</LinksUpToDate>
  <CharactersWithSpaces>1243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2018-12-04T02:31:00Z</dcterms:created>
  <dc:creator>Windows 用户</dc:creator>
  <cp:lastModifiedBy>HP</cp:lastModifiedBy>
  <cp:lastPrinted>2018-06-22T03:46:00Z</cp:lastPrinted>
  <dcterms:modified xsi:type="dcterms:W3CDTF">2018-12-07T01:24:13Z</dcterms:modified>
  <dc:title>关于评选2015年泉州师范学院优秀教师、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