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黑体"/>
          <w:bCs/>
          <w:color w:val="000000" w:themeColor="text1"/>
          <w:sz w:val="32"/>
          <w:szCs w:val="32"/>
          <w14:textFill>
            <w14:solidFill>
              <w14:schemeClr w14:val="tx1"/>
            </w14:solidFill>
          </w14:textFill>
        </w:rPr>
      </w:pPr>
      <w:r>
        <w:rPr>
          <w:rFonts w:eastAsia="黑体"/>
          <w:bCs/>
          <w:color w:val="000000" w:themeColor="text1"/>
          <w:sz w:val="32"/>
          <w:szCs w:val="32"/>
          <w14:textFill>
            <w14:solidFill>
              <w14:schemeClr w14:val="tx1"/>
            </w14:solidFill>
          </w14:textFill>
        </w:rPr>
        <w:t>数据科学与大数据技术本科专业(</w:t>
      </w:r>
      <w:r>
        <w:rPr>
          <w:rFonts w:eastAsia="黑体"/>
          <w:color w:val="000000" w:themeColor="text1"/>
          <w:spacing w:val="9"/>
          <w:sz w:val="31"/>
          <w:szCs w:val="31"/>
          <w14:textFill>
            <w14:solidFill>
              <w14:schemeClr w14:val="tx1"/>
            </w14:solidFill>
          </w14:textFill>
        </w:rPr>
        <w:t>AISEC</w:t>
      </w:r>
      <w:r>
        <w:rPr>
          <w:rFonts w:eastAsia="黑体"/>
          <w:bCs/>
          <w:color w:val="000000" w:themeColor="text1"/>
          <w:sz w:val="32"/>
          <w:szCs w:val="32"/>
          <w14:textFill>
            <w14:solidFill>
              <w14:schemeClr w14:val="tx1"/>
            </w14:solidFill>
          </w14:textFill>
        </w:rPr>
        <w:t>)人才培养方案</w:t>
      </w:r>
    </w:p>
    <w:p>
      <w:pPr>
        <w:spacing w:line="600" w:lineRule="exact"/>
        <w:jc w:val="center"/>
        <w:rPr>
          <w:rFonts w:eastAsia="仿宋_GB2312"/>
          <w:color w:val="000000" w:themeColor="text1"/>
          <w:szCs w:val="21"/>
          <w14:textFill>
            <w14:solidFill>
              <w14:schemeClr w14:val="tx1"/>
            </w14:solidFill>
          </w14:textFill>
        </w:rPr>
      </w:pPr>
      <w:r>
        <w:rPr>
          <w:color w:val="000000" w:themeColor="text1"/>
          <w:szCs w:val="21"/>
          <w14:textFill>
            <w14:solidFill>
              <w14:schemeClr w14:val="tx1"/>
            </w14:solidFill>
          </w14:textFill>
        </w:rPr>
        <w:t>（2022级起执行）</w:t>
      </w:r>
    </w:p>
    <w:p>
      <w:pPr>
        <w:spacing w:line="400" w:lineRule="exact"/>
        <w:ind w:firstLine="480" w:firstLineChars="200"/>
        <w:rPr>
          <w:color w:val="000000" w:themeColor="text1"/>
          <w:sz w:val="24"/>
          <w14:textFill>
            <w14:solidFill>
              <w14:schemeClr w14:val="tx1"/>
            </w14:solidFill>
          </w14:textFill>
        </w:rPr>
      </w:pPr>
    </w:p>
    <w:p>
      <w:pPr>
        <w:spacing w:line="400" w:lineRule="exact"/>
        <w:ind w:firstLine="480" w:firstLineChars="200"/>
        <w:rPr>
          <w:rFonts w:hint="default" w:eastAsia="黑体"/>
          <w:sz w:val="24"/>
          <w:lang w:val="en-US" w:eastAsia="zh-CN"/>
        </w:rPr>
      </w:pPr>
      <w:r>
        <w:rPr>
          <w:rFonts w:hint="eastAsia" w:eastAsia="黑体"/>
          <w:sz w:val="24"/>
          <w:lang w:val="en-US" w:eastAsia="zh-CN"/>
        </w:rPr>
        <w:t>专业名称：数据科学与大数据技术          专业代码：080910T</w:t>
      </w:r>
    </w:p>
    <w:p>
      <w:pPr>
        <w:spacing w:line="400" w:lineRule="exact"/>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一、培养目标</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专业培养适应国家和地方经济社会发展需求，德、智、体、美、劳全面发展，具备大数据科学的基本原理、基本知识、基本方法、基本技能和一定的大数据科学研究能力，熟练掌握大数据处理所需的计算机技术，能够在企业、事业、政府、社会组织等行业从事大数据的处理、分析及预测等工作，或在科研、教育部门从事大数据研究、咨询、教育培训工作的应用型工程技术人才。</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五年后的毕业生能成为企事业单位技术骨干或管理骨干，达到以下目标。</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1.具有良好的人文社会科学素养、职业道德和团队协作能力，能成为团队骨干力量；</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2.掌握数学、自然科学等学科知识，具有一定的大数据工程技术基础和专业知识，能为大数据工程项目解决实际问题；</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3.具备创新思维和国际视野，能通过自主学习等途径获取知识、提升技能，能为大数据工程项目撰写建设方案；</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4.能从事大数据采集、存储、处理、分析、应用的研究和管理工作，成为项目主持人、工程负责人等。</w:t>
      </w:r>
    </w:p>
    <w:p>
      <w:pPr>
        <w:spacing w:line="400" w:lineRule="exact"/>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二、毕业要求</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本专业学生主要学习数据科学与大数据技术相关的基本理论和基本知识，接受科学思维、大数据处理及专业技术工具的基本训练，掌握一定的智能制造等相关业务知识，具有大数据应用系统设计与开发的基本能力。</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毕业生应获得以下几方面的知识和能力：</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1.工程知识：能够将数学、自然科学、工程基础和大数据专业知识用于解决复杂大数据工程问题以获得有效结论；</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2.问题分析：能够应用数学、自然科学和工程科学的基本原理，识别、表达、并通过文献研究分析复杂大数据工程问题，以获得有效结论；</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3.方案设计：掌握大数据应用系统分析与设计的基本方法；具备针对复杂大数据工程问题的分析、设计及报告撰写能力，能够对计算机系统工程问题设计解决方案，并考虑社会、健康、安全、法律、文化以及环境等因素；</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4.问题研究：能够基于科学原理并采用科学方法对复杂大数据工程问题进行研究，具有设计实验及进行大数据采集与清洗、存储与管理、大数据分析的能力，并能通过信息综合得到合理有效的结论；</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5.工具使用：能够针对复杂问题，开发、选择与使用恰当的技术、资源、现代工程工具和信息技术工具，包括对复杂大数据工程问题的预测与模拟，并能够理解其局限性；</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6.工程与社会：能够基于工程相关背景知识进行合理分析，评价专业工程实践和复杂大数据工程问题解决方案对社会、健康、安全、法律以及文化的影响，并理解应承担的责任；</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7.环境和可持续发展：能够理解和评价针对复杂大数据工程问题的工程实践对环境、社会可持续发展的影响；</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8.个人和团队：具有人文社会科学素养、社会责任感，能够在工程实践中理解并遵守工程职业道德和规范，履行责任；</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9.交流与沟通：能够在多学科背景下的团队中承担个体、团队成员以及负责人的角色；</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10.项目管理：能够就复杂大数据工程问题与业界同行及社会公众进行有效沟通和交流，包括撰写报告和设计文稿、陈述发言、清晰表达或回应指令，并具备一定的国际视野，能够在跨文化背景下进行沟通和交流；</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11.职业规范：理解并掌握大数据工程管理原理与经济决策方法，并能在多学科环境中应用；</w:t>
      </w:r>
    </w:p>
    <w:p>
      <w:pPr>
        <w:spacing w:line="400" w:lineRule="exact"/>
        <w:ind w:firstLine="420" w:firstLineChars="200"/>
        <w:rPr>
          <w:color w:val="000000" w:themeColor="text1"/>
          <w:szCs w:val="21"/>
          <w:shd w:val="clear" w:color="auto" w:fill="FFFFFF"/>
          <w14:textFill>
            <w14:solidFill>
              <w14:schemeClr w14:val="tx1"/>
            </w14:solidFill>
          </w14:textFill>
        </w:rPr>
      </w:pPr>
      <w:r>
        <w:rPr>
          <w:color w:val="000000" w:themeColor="text1"/>
          <w:szCs w:val="21"/>
          <w:shd w:val="clear" w:color="auto" w:fill="FFFFFF"/>
          <w14:textFill>
            <w14:solidFill>
              <w14:schemeClr w14:val="tx1"/>
            </w14:solidFill>
          </w14:textFill>
        </w:rPr>
        <w:t>12.终身学习：具有自主学习和终身学习的意识，有不断学习和适应发展的能力。</w:t>
      </w:r>
    </w:p>
    <w:p>
      <w:pPr>
        <w:spacing w:line="400" w:lineRule="exact"/>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三、学制、授予学位、培养模式及毕业最低学分</w:t>
      </w:r>
    </w:p>
    <w:p>
      <w:pPr>
        <w:spacing w:line="400" w:lineRule="exact"/>
        <w:ind w:firstLine="420" w:firstLineChars="200"/>
        <w:rPr>
          <w:color w:val="000000" w:themeColor="text1"/>
          <w:szCs w:val="21"/>
          <w14:textFill>
            <w14:solidFill>
              <w14:schemeClr w14:val="tx1"/>
            </w14:solidFill>
          </w14:textFill>
        </w:rPr>
      </w:pPr>
      <w:r>
        <w:rPr>
          <w:bCs/>
          <w:color w:val="000000" w:themeColor="text1"/>
          <w:szCs w:val="21"/>
          <w14:textFill>
            <w14:solidFill>
              <w14:schemeClr w14:val="tx1"/>
            </w14:solidFill>
          </w14:textFill>
        </w:rPr>
        <w:t>1.学制：</w:t>
      </w:r>
      <w:r>
        <w:rPr>
          <w:color w:val="000000" w:themeColor="text1"/>
          <w:szCs w:val="21"/>
          <w14:textFill>
            <w14:solidFill>
              <w14:schemeClr w14:val="tx1"/>
            </w14:solidFill>
          </w14:textFill>
        </w:rPr>
        <w:t>标准学制为4年，弹性学制3-6年。</w:t>
      </w:r>
    </w:p>
    <w:p>
      <w:pPr>
        <w:spacing w:line="400" w:lineRule="exact"/>
        <w:ind w:firstLine="420" w:firstLineChars="2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2.授予学位：工学学士。</w:t>
      </w:r>
    </w:p>
    <w:p>
      <w:pPr>
        <w:spacing w:line="400" w:lineRule="exact"/>
        <w:ind w:firstLine="420" w:firstLineChars="2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3.培养模式：AISEC项目采取双向学分互认、创新型、国际化人才培养模式，学生就读国内阶段的部分课程可被境外合作院校认可。</w:t>
      </w:r>
    </w:p>
    <w:p>
      <w:pPr>
        <w:spacing w:line="400" w:lineRule="exact"/>
        <w:ind w:firstLine="420" w:firstLineChars="2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本科阶段学制四年，除全程在国内完成学习外，也可以采用国内境外两个学习阶段的模式，其中国内阶段不能少于两年。学生根据自身意愿和学业需求，自主选择以下任意一种学习模式：</w:t>
      </w:r>
    </w:p>
    <w:p>
      <w:pPr>
        <w:spacing w:line="400" w:lineRule="exact"/>
        <w:ind w:firstLine="420" w:firstLineChars="2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模式一：“单学位模式”。学生在泉州师范学院学习AISEC项目，学制为4年，符合泉州师范学院毕业条件和学士学位授予资格者，可获得泉州师范学院的本科学历证书和学士学位证书。</w:t>
      </w:r>
    </w:p>
    <w:p>
      <w:pPr>
        <w:spacing w:line="400" w:lineRule="exact"/>
        <w:ind w:firstLine="420" w:firstLineChars="2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模式二：“双学位模式”。针对有意出国学习的学生，在泉州师范学院按要求学习2年后，达到境外对接院校录取要求的学生可申请赴境外院校继续学习本科课程，符合境外院校学士学位授予资格者可获得境外院校颁发的学士学位。同时符合泉州师范学院毕业条件和学士学位授予资格的学生，可同时获得泉州师范学院本科学历证书和学士学位证书。</w:t>
      </w:r>
    </w:p>
    <w:p>
      <w:pPr>
        <w:spacing w:line="400" w:lineRule="exact"/>
        <w:ind w:firstLine="420" w:firstLineChars="200"/>
        <w:rPr>
          <w:color w:val="000000" w:themeColor="text1"/>
          <w:szCs w:val="21"/>
          <w14:textFill>
            <w14:solidFill>
              <w14:schemeClr w14:val="tx1"/>
            </w14:solidFill>
          </w14:textFill>
        </w:rPr>
      </w:pPr>
      <w:r>
        <w:rPr>
          <w:bCs/>
          <w:color w:val="000000" w:themeColor="text1"/>
          <w:szCs w:val="21"/>
          <w14:textFill>
            <w14:solidFill>
              <w14:schemeClr w14:val="tx1"/>
            </w14:solidFill>
          </w14:textFill>
        </w:rPr>
        <w:t>4.毕业最低总学分：</w:t>
      </w:r>
      <w:r>
        <w:rPr>
          <w:color w:val="000000" w:themeColor="text1"/>
          <w:szCs w:val="21"/>
          <w14:textFill>
            <w14:solidFill>
              <w14:schemeClr w14:val="tx1"/>
            </w14:solidFill>
          </w14:textFill>
        </w:rPr>
        <w:t>170学分。</w:t>
      </w:r>
    </w:p>
    <w:p>
      <w:pPr>
        <w:spacing w:line="400" w:lineRule="exact"/>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四、课程设置</w:t>
      </w:r>
    </w:p>
    <w:p>
      <w:pPr>
        <w:spacing w:line="400" w:lineRule="exact"/>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1.主干学科：计算机科学与技术、统计学。</w:t>
      </w:r>
    </w:p>
    <w:p>
      <w:pPr>
        <w:spacing w:line="400" w:lineRule="exact"/>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2.核心课程：程序设计基础、算法与数据结构、面向对象编程、数据库系统入门、计算机网络、数据采集与预处理、数据存储与管理、数据挖掘原理、机器学习、大数据综合项目设计。</w:t>
      </w:r>
    </w:p>
    <w:p>
      <w:pPr>
        <w:spacing w:line="400" w:lineRule="exact"/>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3.主要实践性教学环节：军训、公益劳动、社会实践、创新创业及专业素质能力实践、课程实验、校企合作课程、专业实习、毕业论文(设计)等。</w:t>
      </w:r>
    </w:p>
    <w:p>
      <w:pPr>
        <w:spacing w:line="400" w:lineRule="exact"/>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4.主要专业实验：程序设计基础实验、算法与数据结构实验、数据库系统入门实验、计算机网络实验、数据存储与管理实验、面向对象编程实验、机器学习实验、ASIEC服务研习II等。</w:t>
      </w:r>
    </w:p>
    <w:p>
      <w:pPr>
        <w:spacing w:before="167" w:beforeLines="50" w:line="400" w:lineRule="exact"/>
        <w:ind w:firstLine="411" w:firstLineChars="196"/>
        <w:rPr>
          <w:rFonts w:eastAsia="黑体"/>
          <w:color w:val="000000" w:themeColor="text1"/>
          <w:sz w:val="24"/>
          <w:szCs w:val="28"/>
          <w14:textFill>
            <w14:solidFill>
              <w14:schemeClr w14:val="tx1"/>
            </w14:solidFill>
          </w14:textFill>
        </w:rPr>
      </w:pPr>
      <w:r>
        <w:rPr>
          <w:color w:val="000000" w:themeColor="text1"/>
          <w:szCs w:val="21"/>
          <w14:textFill>
            <w14:solidFill>
              <w14:schemeClr w14:val="tx1"/>
            </w14:solidFill>
          </w14:textFill>
        </w:rPr>
        <w:t>5</w:t>
      </w:r>
      <w:r>
        <w:rPr>
          <w:bCs/>
          <w:color w:val="000000" w:themeColor="text1"/>
          <w:szCs w:val="21"/>
          <w14:textFill>
            <w14:solidFill>
              <w14:schemeClr w14:val="tx1"/>
            </w14:solidFill>
          </w14:textFill>
        </w:rPr>
        <w:t>.</w:t>
      </w:r>
      <w:r>
        <w:rPr>
          <w:color w:val="000000" w:themeColor="text1"/>
          <w:szCs w:val="21"/>
          <w14:textFill>
            <w14:solidFill>
              <w14:schemeClr w14:val="tx1"/>
            </w14:solidFill>
          </w14:textFill>
        </w:rPr>
        <w:t>课程结构比例：</w:t>
      </w:r>
    </w:p>
    <w:p>
      <w:pPr>
        <w:spacing w:line="400" w:lineRule="exact"/>
        <w:ind w:firstLine="420" w:firstLineChars="200"/>
        <w:rPr>
          <w:color w:val="000000" w:themeColor="text1"/>
          <w:szCs w:val="21"/>
          <w14:textFill>
            <w14:solidFill>
              <w14:schemeClr w14:val="tx1"/>
            </w14:solidFill>
          </w14:textFill>
        </w:rPr>
      </w:pPr>
    </w:p>
    <w:p>
      <w:pPr>
        <w:spacing w:line="400" w:lineRule="exact"/>
        <w:jc w:val="center"/>
        <w:rPr>
          <w:color w:val="000000" w:themeColor="text1"/>
          <w:szCs w:val="21"/>
          <w14:textFill>
            <w14:solidFill>
              <w14:schemeClr w14:val="tx1"/>
            </w14:solidFill>
          </w14:textFill>
        </w:rPr>
      </w:pPr>
    </w:p>
    <w:p>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各类课程模块学时、学分分布表</w:t>
      </w:r>
    </w:p>
    <w:tbl>
      <w:tblPr>
        <w:tblStyle w:val="7"/>
        <w:tblW w:w="9000" w:type="dxa"/>
        <w:tblInd w:w="93" w:type="dxa"/>
        <w:tblLayout w:type="autofit"/>
        <w:tblCellMar>
          <w:top w:w="0" w:type="dxa"/>
          <w:left w:w="108" w:type="dxa"/>
          <w:bottom w:w="0" w:type="dxa"/>
          <w:right w:w="108" w:type="dxa"/>
        </w:tblCellMar>
      </w:tblPr>
      <w:tblGrid>
        <w:gridCol w:w="1560"/>
        <w:gridCol w:w="1080"/>
        <w:gridCol w:w="1260"/>
        <w:gridCol w:w="1230"/>
        <w:gridCol w:w="1122"/>
        <w:gridCol w:w="1158"/>
        <w:gridCol w:w="1590"/>
      </w:tblGrid>
      <w:tr>
        <w:tblPrEx>
          <w:tblCellMar>
            <w:top w:w="0" w:type="dxa"/>
            <w:left w:w="108" w:type="dxa"/>
            <w:bottom w:w="0" w:type="dxa"/>
            <w:right w:w="108" w:type="dxa"/>
          </w:tblCellMar>
        </w:tblPrEx>
        <w:trPr>
          <w:trHeight w:val="400" w:hRule="atLeast"/>
        </w:trPr>
        <w:tc>
          <w:tcPr>
            <w:tcW w:w="26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课程模块</w:t>
            </w:r>
          </w:p>
        </w:tc>
        <w:tc>
          <w:tcPr>
            <w:tcW w:w="36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学时分布</w:t>
            </w:r>
          </w:p>
        </w:tc>
        <w:tc>
          <w:tcPr>
            <w:tcW w:w="2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学分分布</w:t>
            </w:r>
          </w:p>
        </w:tc>
      </w:tr>
      <w:tr>
        <w:tblPrEx>
          <w:tblCellMar>
            <w:top w:w="0" w:type="dxa"/>
            <w:left w:w="108" w:type="dxa"/>
            <w:bottom w:w="0" w:type="dxa"/>
            <w:right w:w="108" w:type="dxa"/>
          </w:tblCellMar>
        </w:tblPrEx>
        <w:trPr>
          <w:trHeight w:val="720" w:hRule="atLeast"/>
        </w:trPr>
        <w:tc>
          <w:tcPr>
            <w:tcW w:w="26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126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学时数</w:t>
            </w:r>
          </w:p>
        </w:tc>
        <w:tc>
          <w:tcPr>
            <w:tcW w:w="123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比例（%）</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其中实践学时</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学分数</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比例（%）</w:t>
            </w:r>
          </w:p>
        </w:tc>
      </w:tr>
      <w:tr>
        <w:tblPrEx>
          <w:tblCellMar>
            <w:top w:w="0" w:type="dxa"/>
            <w:left w:w="108" w:type="dxa"/>
            <w:bottom w:w="0" w:type="dxa"/>
            <w:right w:w="108" w:type="dxa"/>
          </w:tblCellMar>
        </w:tblPrEx>
        <w:trPr>
          <w:trHeight w:val="40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通识课程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必修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color w:val="000000" w:themeColor="text1"/>
                <w:kern w:val="0"/>
                <w:sz w:val="20"/>
                <w:szCs w:val="20"/>
                <w14:textFill>
                  <w14:solidFill>
                    <w14:schemeClr w14:val="tx1"/>
                  </w14:solidFill>
                </w14:textFill>
              </w:rPr>
            </w:pPr>
            <w:r>
              <w:rPr>
                <w:color w:val="000000" w:themeColor="text1"/>
                <w:sz w:val="20"/>
                <w:szCs w:val="20"/>
                <w14:textFill>
                  <w14:solidFill>
                    <w14:schemeClr w14:val="tx1"/>
                  </w14:solidFill>
                </w14:textFill>
              </w:rPr>
              <w:t>948</w:t>
            </w:r>
          </w:p>
        </w:tc>
        <w:tc>
          <w:tcPr>
            <w:tcW w:w="1230" w:type="dxa"/>
            <w:tcBorders>
              <w:top w:val="single" w:color="000000" w:sz="4" w:space="0"/>
              <w:left w:val="single" w:color="000000" w:sz="4" w:space="0"/>
              <w:bottom w:val="single" w:color="000000" w:sz="4" w:space="0"/>
              <w:right w:val="single" w:color="000000" w:sz="4" w:space="0"/>
            </w:tcBorders>
            <w:shd w:val="clear" w:color="auto" w:fill="auto"/>
          </w:tcPr>
          <w:p>
            <w:pPr>
              <w:jc w:val="center"/>
            </w:pPr>
            <w:r>
              <w:t>38.41%</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302</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color w:val="000000" w:themeColor="text1"/>
                <w:kern w:val="0"/>
                <w:sz w:val="20"/>
                <w:szCs w:val="20"/>
                <w14:textFill>
                  <w14:solidFill>
                    <w14:schemeClr w14:val="tx1"/>
                  </w14:solidFill>
                </w14:textFill>
              </w:rPr>
            </w:pPr>
            <w:r>
              <w:rPr>
                <w:color w:val="000000" w:themeColor="text1"/>
                <w:sz w:val="20"/>
                <w:szCs w:val="20"/>
                <w14:textFill>
                  <w14:solidFill>
                    <w14:schemeClr w14:val="tx1"/>
                  </w14:solidFill>
                </w14:textFill>
              </w:rPr>
              <w:t>51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30.00</w:t>
            </w:r>
          </w:p>
        </w:tc>
      </w:tr>
      <w:tr>
        <w:tblPrEx>
          <w:tblCellMar>
            <w:top w:w="0" w:type="dxa"/>
            <w:left w:w="108" w:type="dxa"/>
            <w:bottom w:w="0" w:type="dxa"/>
            <w:right w:w="108" w:type="dxa"/>
          </w:tblCellMar>
        </w:tblPrEx>
        <w:trPr>
          <w:trHeight w:val="40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选修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176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Pr>
          <w:p>
            <w:pPr>
              <w:jc w:val="center"/>
            </w:pPr>
            <w:r>
              <w:t>7.13%</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6.47</w:t>
            </w:r>
          </w:p>
        </w:tc>
      </w:tr>
      <w:tr>
        <w:tblPrEx>
          <w:tblCellMar>
            <w:top w:w="0" w:type="dxa"/>
            <w:left w:w="108" w:type="dxa"/>
            <w:bottom w:w="0" w:type="dxa"/>
            <w:right w:w="108" w:type="dxa"/>
          </w:tblCellMar>
        </w:tblPrEx>
        <w:trPr>
          <w:trHeight w:val="40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学科基础课程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必修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656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Pr>
          <w:p>
            <w:pPr>
              <w:jc w:val="center"/>
            </w:pPr>
            <w:r>
              <w:t>26.58%</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152</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39</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22.94</w:t>
            </w:r>
          </w:p>
        </w:tc>
      </w:tr>
      <w:tr>
        <w:tblPrEx>
          <w:tblCellMar>
            <w:top w:w="0" w:type="dxa"/>
            <w:left w:w="108" w:type="dxa"/>
            <w:bottom w:w="0" w:type="dxa"/>
            <w:right w:w="108" w:type="dxa"/>
          </w:tblCellMar>
        </w:tblPrEx>
        <w:trPr>
          <w:trHeight w:val="40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专业课程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必修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288</w:t>
            </w:r>
          </w:p>
        </w:tc>
        <w:tc>
          <w:tcPr>
            <w:tcW w:w="1230" w:type="dxa"/>
            <w:tcBorders>
              <w:top w:val="single" w:color="000000" w:sz="4" w:space="0"/>
              <w:left w:val="single" w:color="000000" w:sz="4" w:space="0"/>
              <w:bottom w:val="single" w:color="000000" w:sz="4" w:space="0"/>
              <w:right w:val="single" w:color="000000" w:sz="4" w:space="0"/>
            </w:tcBorders>
            <w:shd w:val="clear" w:color="auto" w:fill="auto"/>
          </w:tcPr>
          <w:p>
            <w:pPr>
              <w:jc w:val="center"/>
            </w:pPr>
            <w:r>
              <w:t>11.67%</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88</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18</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10.59</w:t>
            </w:r>
          </w:p>
        </w:tc>
      </w:tr>
      <w:tr>
        <w:tblPrEx>
          <w:tblCellMar>
            <w:top w:w="0" w:type="dxa"/>
            <w:left w:w="108" w:type="dxa"/>
            <w:bottom w:w="0" w:type="dxa"/>
            <w:right w:w="108" w:type="dxa"/>
          </w:tblCellMar>
        </w:tblPrEx>
        <w:trPr>
          <w:trHeight w:val="40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选修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400</w:t>
            </w:r>
          </w:p>
        </w:tc>
        <w:tc>
          <w:tcPr>
            <w:tcW w:w="1230" w:type="dxa"/>
            <w:tcBorders>
              <w:top w:val="single" w:color="000000" w:sz="4" w:space="0"/>
              <w:left w:val="single" w:color="000000" w:sz="4" w:space="0"/>
              <w:bottom w:val="single" w:color="000000" w:sz="4" w:space="0"/>
              <w:right w:val="single" w:color="000000" w:sz="4" w:space="0"/>
            </w:tcBorders>
            <w:shd w:val="clear" w:color="auto" w:fill="auto"/>
          </w:tcPr>
          <w:p>
            <w:pPr>
              <w:jc w:val="center"/>
            </w:pPr>
            <w:r>
              <w:t>16.21%</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168</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25</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14.71</w:t>
            </w:r>
          </w:p>
        </w:tc>
      </w:tr>
      <w:tr>
        <w:tblPrEx>
          <w:tblCellMar>
            <w:top w:w="0" w:type="dxa"/>
            <w:left w:w="108" w:type="dxa"/>
            <w:bottom w:w="0" w:type="dxa"/>
            <w:right w:w="108" w:type="dxa"/>
          </w:tblCellMar>
        </w:tblPrEx>
        <w:trPr>
          <w:trHeight w:val="40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集中实践课程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必修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26周</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26</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15.29</w:t>
            </w:r>
          </w:p>
        </w:tc>
      </w:tr>
      <w:tr>
        <w:tblPrEx>
          <w:tblCellMar>
            <w:top w:w="0" w:type="dxa"/>
            <w:left w:w="108" w:type="dxa"/>
            <w:bottom w:w="0" w:type="dxa"/>
            <w:right w:w="108" w:type="dxa"/>
          </w:tblCellMar>
        </w:tblPrEx>
        <w:trPr>
          <w:trHeight w:val="400" w:hRule="atLeast"/>
        </w:trPr>
        <w:tc>
          <w:tcPr>
            <w:tcW w:w="26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总计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课内总学时：</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2468</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总学分：</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170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400" w:hRule="atLeast"/>
        </w:trPr>
        <w:tc>
          <w:tcPr>
            <w:tcW w:w="26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选修学时：</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576</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选修学分：</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36</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400" w:hRule="atLeast"/>
        </w:trPr>
        <w:tc>
          <w:tcPr>
            <w:tcW w:w="26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占比：</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23.34%</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占比：</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21.17%</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r>
      <w:tr>
        <w:tblPrEx>
          <w:tblCellMar>
            <w:top w:w="0" w:type="dxa"/>
            <w:left w:w="108" w:type="dxa"/>
            <w:bottom w:w="0" w:type="dxa"/>
            <w:right w:w="108" w:type="dxa"/>
          </w:tblCellMar>
        </w:tblPrEx>
        <w:trPr>
          <w:trHeight w:val="400" w:hRule="atLeast"/>
        </w:trPr>
        <w:tc>
          <w:tcPr>
            <w:tcW w:w="26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核心课程：10门；合计学分：30</w:t>
            </w:r>
          </w:p>
        </w:tc>
      </w:tr>
      <w:tr>
        <w:tblPrEx>
          <w:tblCellMar>
            <w:top w:w="0" w:type="dxa"/>
            <w:left w:w="108" w:type="dxa"/>
            <w:bottom w:w="0" w:type="dxa"/>
            <w:right w:w="108" w:type="dxa"/>
          </w:tblCellMar>
        </w:tblPrEx>
        <w:trPr>
          <w:trHeight w:val="660" w:hRule="atLeast"/>
        </w:trPr>
        <w:tc>
          <w:tcPr>
            <w:tcW w:w="26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EMI教学课程：36门，合计学分：99，占比：58.24%</w:t>
            </w:r>
          </w:p>
        </w:tc>
      </w:tr>
      <w:tr>
        <w:tblPrEx>
          <w:tblCellMar>
            <w:top w:w="0" w:type="dxa"/>
            <w:left w:w="108" w:type="dxa"/>
            <w:bottom w:w="0" w:type="dxa"/>
            <w:right w:w="108" w:type="dxa"/>
          </w:tblCellMar>
        </w:tblPrEx>
        <w:trPr>
          <w:trHeight w:val="400" w:hRule="atLeast"/>
        </w:trPr>
        <w:tc>
          <w:tcPr>
            <w:tcW w:w="26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themeColor="text1"/>
                <w:sz w:val="20"/>
                <w:szCs w:val="20"/>
                <w14:textFill>
                  <w14:solidFill>
                    <w14:schemeClr w14:val="tx1"/>
                  </w14:solidFill>
                </w14:textFill>
              </w:rPr>
            </w:pP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与行业、企业联合开发课程：5门；合计学分：10</w:t>
            </w:r>
          </w:p>
        </w:tc>
      </w:tr>
      <w:tr>
        <w:tblPrEx>
          <w:tblCellMar>
            <w:top w:w="0" w:type="dxa"/>
            <w:left w:w="108" w:type="dxa"/>
            <w:bottom w:w="0" w:type="dxa"/>
            <w:right w:w="108" w:type="dxa"/>
          </w:tblCellMar>
        </w:tblPrEx>
        <w:trPr>
          <w:trHeight w:val="40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素质拓展课程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必修</w:t>
            </w: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公益劳动、社会实践、创新创业及专业素质能力实践等</w:t>
            </w:r>
          </w:p>
        </w:tc>
      </w:tr>
    </w:tbl>
    <w:p>
      <w:pPr>
        <w:spacing w:line="400" w:lineRule="exact"/>
        <w:jc w:val="center"/>
        <w:rPr>
          <w:color w:val="000000" w:themeColor="text1"/>
          <w:szCs w:val="21"/>
          <w14:textFill>
            <w14:solidFill>
              <w14:schemeClr w14:val="tx1"/>
            </w14:solidFill>
          </w14:textFill>
        </w:rPr>
      </w:pPr>
    </w:p>
    <w:p>
      <w:pPr>
        <w:spacing w:line="400" w:lineRule="exact"/>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五、集中实践课程安排说明</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1.军事训练安排在第1学年进行。</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2.思想道德与法治、习近平中国特色社会主义概论等2门课程各安排1学分实践教学，利用周末或假期组织实施。</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3.其他集中教学实践时间安排说明。</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（1）课程设计安排在第2~6学期，每学期1周，各1学分，独立计算课程学分。</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（2）毕业论文(设计)(14周)、专业实习(12周)分别安排在第7、8学期进行。</w:t>
      </w:r>
    </w:p>
    <w:p>
      <w:pPr>
        <w:spacing w:line="400" w:lineRule="exact"/>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六、素质拓展课程安排说明</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1.公益劳动，指学生在校期间参加学校组织的各种公益劳动，每学期不少于1周。</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2.社会实践活动，学生应积极参加学校组织的社会调查、志愿者服务等社会实践活动，累计时间不少于4周。</w:t>
      </w:r>
    </w:p>
    <w:p>
      <w:pPr>
        <w:spacing w:line="40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3.创新创业及专业素质能力实践具体实施细则另行规定。</w:t>
      </w:r>
    </w:p>
    <w:p>
      <w:pPr>
        <w:spacing w:line="400" w:lineRule="exact"/>
        <w:ind w:firstLine="480" w:firstLineChars="200"/>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七、各学年周数总体安排</w:t>
      </w:r>
    </w:p>
    <w:p>
      <w:pPr>
        <w:spacing w:line="400" w:lineRule="exact"/>
        <w:jc w:val="center"/>
        <w:rPr>
          <w:color w:val="000000" w:themeColor="text1"/>
          <w:sz w:val="24"/>
          <w14:textFill>
            <w14:solidFill>
              <w14:schemeClr w14:val="tx1"/>
            </w14:solidFill>
          </w14:textFill>
        </w:rPr>
      </w:pPr>
    </w:p>
    <w:p>
      <w:pPr>
        <w:spacing w:line="40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各学年周数安排表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685"/>
        <w:gridCol w:w="13"/>
        <w:gridCol w:w="622"/>
        <w:gridCol w:w="733"/>
        <w:gridCol w:w="955"/>
        <w:gridCol w:w="749"/>
        <w:gridCol w:w="1198"/>
        <w:gridCol w:w="1264"/>
        <w:gridCol w:w="767"/>
        <w:gridCol w:w="1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62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学年</w:t>
            </w: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学期</w:t>
            </w:r>
          </w:p>
        </w:tc>
        <w:tc>
          <w:tcPr>
            <w:tcW w:w="635" w:type="dxa"/>
            <w:gridSpan w:val="2"/>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课堂教学</w:t>
            </w:r>
          </w:p>
        </w:tc>
        <w:tc>
          <w:tcPr>
            <w:tcW w:w="733"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复习考试</w:t>
            </w:r>
          </w:p>
        </w:tc>
        <w:tc>
          <w:tcPr>
            <w:tcW w:w="95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实习</w:t>
            </w:r>
          </w:p>
        </w:tc>
        <w:tc>
          <w:tcPr>
            <w:tcW w:w="74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见习</w:t>
            </w:r>
          </w:p>
        </w:tc>
        <w:tc>
          <w:tcPr>
            <w:tcW w:w="1198"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课程设计或</w:t>
            </w: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课程实践</w:t>
            </w:r>
          </w:p>
        </w:tc>
        <w:tc>
          <w:tcPr>
            <w:tcW w:w="1264"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毕业设计（论文）</w:t>
            </w:r>
          </w:p>
        </w:tc>
        <w:tc>
          <w:tcPr>
            <w:tcW w:w="767"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机动与</w:t>
            </w: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公益劳动</w:t>
            </w:r>
          </w:p>
        </w:tc>
        <w:tc>
          <w:tcPr>
            <w:tcW w:w="1273"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军训</w:t>
            </w: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入学教育</w:t>
            </w: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毕业教育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625" w:type="dxa"/>
            <w:vMerge w:val="restart"/>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一</w:t>
            </w: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635" w:type="dxa"/>
            <w:gridSpan w:val="2"/>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733"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955" w:type="dxa"/>
            <w:vAlign w:val="center"/>
          </w:tcPr>
          <w:p>
            <w:pPr>
              <w:spacing w:line="360" w:lineRule="exact"/>
              <w:jc w:val="center"/>
              <w:rPr>
                <w:color w:val="000000" w:themeColor="text1"/>
                <w:szCs w:val="21"/>
                <w14:textFill>
                  <w14:solidFill>
                    <w14:schemeClr w14:val="tx1"/>
                  </w14:solidFill>
                </w14:textFill>
              </w:rPr>
            </w:pPr>
          </w:p>
        </w:tc>
        <w:tc>
          <w:tcPr>
            <w:tcW w:w="749" w:type="dxa"/>
            <w:vAlign w:val="center"/>
          </w:tcPr>
          <w:p>
            <w:pPr>
              <w:spacing w:line="360" w:lineRule="exact"/>
              <w:jc w:val="center"/>
              <w:rPr>
                <w:color w:val="000000" w:themeColor="text1"/>
                <w:szCs w:val="21"/>
                <w14:textFill>
                  <w14:solidFill>
                    <w14:schemeClr w14:val="tx1"/>
                  </w14:solidFill>
                </w14:textFill>
              </w:rPr>
            </w:pPr>
          </w:p>
        </w:tc>
        <w:tc>
          <w:tcPr>
            <w:tcW w:w="1198" w:type="dxa"/>
            <w:vAlign w:val="center"/>
          </w:tcPr>
          <w:p>
            <w:pPr>
              <w:spacing w:line="360" w:lineRule="exact"/>
              <w:jc w:val="center"/>
              <w:rPr>
                <w:color w:val="000000" w:themeColor="text1"/>
                <w:szCs w:val="21"/>
                <w14:textFill>
                  <w14:solidFill>
                    <w14:schemeClr w14:val="tx1"/>
                  </w14:solidFill>
                </w14:textFill>
              </w:rPr>
            </w:pPr>
          </w:p>
        </w:tc>
        <w:tc>
          <w:tcPr>
            <w:tcW w:w="1264" w:type="dxa"/>
            <w:vAlign w:val="center"/>
          </w:tcPr>
          <w:p>
            <w:pPr>
              <w:spacing w:line="360" w:lineRule="exact"/>
              <w:jc w:val="center"/>
              <w:rPr>
                <w:color w:val="000000" w:themeColor="text1"/>
                <w:szCs w:val="21"/>
                <w14:textFill>
                  <w14:solidFill>
                    <w14:schemeClr w14:val="tx1"/>
                  </w14:solidFill>
                </w14:textFill>
              </w:rPr>
            </w:pPr>
          </w:p>
        </w:tc>
        <w:tc>
          <w:tcPr>
            <w:tcW w:w="767"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273"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625" w:type="dxa"/>
            <w:vMerge w:val="continue"/>
            <w:vAlign w:val="center"/>
          </w:tcPr>
          <w:p>
            <w:pPr>
              <w:spacing w:line="360" w:lineRule="exact"/>
              <w:jc w:val="center"/>
              <w:rPr>
                <w:color w:val="000000" w:themeColor="text1"/>
                <w:szCs w:val="21"/>
                <w14:textFill>
                  <w14:solidFill>
                    <w14:schemeClr w14:val="tx1"/>
                  </w14:solidFill>
                </w14:textFill>
              </w:rPr>
            </w:pP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635" w:type="dxa"/>
            <w:gridSpan w:val="2"/>
            <w:vAlign w:val="center"/>
          </w:tcPr>
          <w:p>
            <w:pPr>
              <w:jc w:val="center"/>
              <w:rPr>
                <w:color w:val="000000" w:themeColor="text1"/>
                <w14:textFill>
                  <w14:solidFill>
                    <w14:schemeClr w14:val="tx1"/>
                  </w14:solidFill>
                </w14:textFill>
              </w:rPr>
            </w:pPr>
            <w:r>
              <w:rPr>
                <w:color w:val="000000" w:themeColor="text1"/>
                <w:szCs w:val="21"/>
                <w14:textFill>
                  <w14:solidFill>
                    <w14:schemeClr w14:val="tx1"/>
                  </w14:solidFill>
                </w14:textFill>
              </w:rPr>
              <w:t>16</w:t>
            </w:r>
          </w:p>
        </w:tc>
        <w:tc>
          <w:tcPr>
            <w:tcW w:w="733"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955" w:type="dxa"/>
            <w:vAlign w:val="center"/>
          </w:tcPr>
          <w:p>
            <w:pPr>
              <w:spacing w:line="360" w:lineRule="exact"/>
              <w:jc w:val="center"/>
              <w:rPr>
                <w:color w:val="000000" w:themeColor="text1"/>
                <w:szCs w:val="21"/>
                <w14:textFill>
                  <w14:solidFill>
                    <w14:schemeClr w14:val="tx1"/>
                  </w14:solidFill>
                </w14:textFill>
              </w:rPr>
            </w:pPr>
          </w:p>
        </w:tc>
        <w:tc>
          <w:tcPr>
            <w:tcW w:w="749" w:type="dxa"/>
            <w:vAlign w:val="center"/>
          </w:tcPr>
          <w:p>
            <w:pPr>
              <w:spacing w:line="360" w:lineRule="exact"/>
              <w:jc w:val="center"/>
              <w:rPr>
                <w:color w:val="000000" w:themeColor="text1"/>
                <w:szCs w:val="21"/>
                <w14:textFill>
                  <w14:solidFill>
                    <w14:schemeClr w14:val="tx1"/>
                  </w14:solidFill>
                </w14:textFill>
              </w:rPr>
            </w:pPr>
          </w:p>
        </w:tc>
        <w:tc>
          <w:tcPr>
            <w:tcW w:w="1198" w:type="dxa"/>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264" w:type="dxa"/>
            <w:vAlign w:val="center"/>
          </w:tcPr>
          <w:p>
            <w:pPr>
              <w:spacing w:line="360" w:lineRule="exact"/>
              <w:jc w:val="center"/>
              <w:rPr>
                <w:color w:val="000000" w:themeColor="text1"/>
                <w:szCs w:val="21"/>
                <w14:textFill>
                  <w14:solidFill>
                    <w14:schemeClr w14:val="tx1"/>
                  </w14:solidFill>
                </w14:textFill>
              </w:rPr>
            </w:pPr>
          </w:p>
        </w:tc>
        <w:tc>
          <w:tcPr>
            <w:tcW w:w="767"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273" w:type="dxa"/>
            <w:vAlign w:val="center"/>
          </w:tcPr>
          <w:p>
            <w:pPr>
              <w:spacing w:line="360" w:lineRule="exact"/>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625" w:type="dxa"/>
            <w:vMerge w:val="restart"/>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二</w:t>
            </w: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635" w:type="dxa"/>
            <w:gridSpan w:val="2"/>
            <w:vAlign w:val="center"/>
          </w:tcPr>
          <w:p>
            <w:pPr>
              <w:jc w:val="center"/>
              <w:rPr>
                <w:color w:val="000000" w:themeColor="text1"/>
                <w14:textFill>
                  <w14:solidFill>
                    <w14:schemeClr w14:val="tx1"/>
                  </w14:solidFill>
                </w14:textFill>
              </w:rPr>
            </w:pPr>
            <w:r>
              <w:rPr>
                <w:color w:val="000000" w:themeColor="text1"/>
                <w:szCs w:val="21"/>
                <w14:textFill>
                  <w14:solidFill>
                    <w14:schemeClr w14:val="tx1"/>
                  </w14:solidFill>
                </w14:textFill>
              </w:rPr>
              <w:t>16</w:t>
            </w:r>
          </w:p>
        </w:tc>
        <w:tc>
          <w:tcPr>
            <w:tcW w:w="733"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955" w:type="dxa"/>
            <w:vAlign w:val="center"/>
          </w:tcPr>
          <w:p>
            <w:pPr>
              <w:spacing w:line="360" w:lineRule="exact"/>
              <w:jc w:val="center"/>
              <w:rPr>
                <w:color w:val="000000" w:themeColor="text1"/>
                <w:szCs w:val="21"/>
                <w14:textFill>
                  <w14:solidFill>
                    <w14:schemeClr w14:val="tx1"/>
                  </w14:solidFill>
                </w14:textFill>
              </w:rPr>
            </w:pPr>
          </w:p>
        </w:tc>
        <w:tc>
          <w:tcPr>
            <w:tcW w:w="749" w:type="dxa"/>
            <w:vAlign w:val="center"/>
          </w:tcPr>
          <w:p>
            <w:pPr>
              <w:spacing w:line="360" w:lineRule="exact"/>
              <w:jc w:val="center"/>
              <w:rPr>
                <w:color w:val="000000" w:themeColor="text1"/>
                <w:szCs w:val="21"/>
                <w14:textFill>
                  <w14:solidFill>
                    <w14:schemeClr w14:val="tx1"/>
                  </w14:solidFill>
                </w14:textFill>
              </w:rPr>
            </w:pPr>
          </w:p>
        </w:tc>
        <w:tc>
          <w:tcPr>
            <w:tcW w:w="1198" w:type="dxa"/>
            <w:vAlign w:val="center"/>
          </w:tcPr>
          <w:p>
            <w:pPr>
              <w:widowControl/>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264" w:type="dxa"/>
            <w:vAlign w:val="center"/>
          </w:tcPr>
          <w:p>
            <w:pPr>
              <w:spacing w:line="360" w:lineRule="exact"/>
              <w:jc w:val="center"/>
              <w:rPr>
                <w:color w:val="000000" w:themeColor="text1"/>
                <w:szCs w:val="21"/>
                <w14:textFill>
                  <w14:solidFill>
                    <w14:schemeClr w14:val="tx1"/>
                  </w14:solidFill>
                </w14:textFill>
              </w:rPr>
            </w:pPr>
          </w:p>
        </w:tc>
        <w:tc>
          <w:tcPr>
            <w:tcW w:w="767"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273" w:type="dxa"/>
            <w:vAlign w:val="center"/>
          </w:tcPr>
          <w:p>
            <w:pPr>
              <w:spacing w:line="360" w:lineRule="exact"/>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625" w:type="dxa"/>
            <w:vMerge w:val="continue"/>
            <w:vAlign w:val="center"/>
          </w:tcPr>
          <w:p>
            <w:pPr>
              <w:spacing w:line="360" w:lineRule="exact"/>
              <w:jc w:val="center"/>
              <w:rPr>
                <w:color w:val="000000" w:themeColor="text1"/>
                <w:szCs w:val="21"/>
                <w14:textFill>
                  <w14:solidFill>
                    <w14:schemeClr w14:val="tx1"/>
                  </w14:solidFill>
                </w14:textFill>
              </w:rPr>
            </w:pP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635" w:type="dxa"/>
            <w:gridSpan w:val="2"/>
            <w:vAlign w:val="center"/>
          </w:tcPr>
          <w:p>
            <w:pPr>
              <w:jc w:val="center"/>
              <w:rPr>
                <w:color w:val="000000" w:themeColor="text1"/>
                <w14:textFill>
                  <w14:solidFill>
                    <w14:schemeClr w14:val="tx1"/>
                  </w14:solidFill>
                </w14:textFill>
              </w:rPr>
            </w:pPr>
            <w:r>
              <w:rPr>
                <w:color w:val="000000" w:themeColor="text1"/>
                <w:szCs w:val="21"/>
                <w14:textFill>
                  <w14:solidFill>
                    <w14:schemeClr w14:val="tx1"/>
                  </w14:solidFill>
                </w14:textFill>
              </w:rPr>
              <w:t>16</w:t>
            </w:r>
          </w:p>
        </w:tc>
        <w:tc>
          <w:tcPr>
            <w:tcW w:w="733"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955" w:type="dxa"/>
            <w:vAlign w:val="center"/>
          </w:tcPr>
          <w:p>
            <w:pPr>
              <w:spacing w:line="360" w:lineRule="exact"/>
              <w:jc w:val="center"/>
              <w:rPr>
                <w:color w:val="000000" w:themeColor="text1"/>
                <w:szCs w:val="21"/>
                <w14:textFill>
                  <w14:solidFill>
                    <w14:schemeClr w14:val="tx1"/>
                  </w14:solidFill>
                </w14:textFill>
              </w:rPr>
            </w:pPr>
          </w:p>
        </w:tc>
        <w:tc>
          <w:tcPr>
            <w:tcW w:w="74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198" w:type="dxa"/>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264" w:type="dxa"/>
            <w:vAlign w:val="center"/>
          </w:tcPr>
          <w:p>
            <w:pPr>
              <w:spacing w:line="360" w:lineRule="exact"/>
              <w:jc w:val="center"/>
              <w:rPr>
                <w:color w:val="000000" w:themeColor="text1"/>
                <w:szCs w:val="21"/>
                <w14:textFill>
                  <w14:solidFill>
                    <w14:schemeClr w14:val="tx1"/>
                  </w14:solidFill>
                </w14:textFill>
              </w:rPr>
            </w:pPr>
          </w:p>
        </w:tc>
        <w:tc>
          <w:tcPr>
            <w:tcW w:w="767"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273" w:type="dxa"/>
            <w:vAlign w:val="center"/>
          </w:tcPr>
          <w:p>
            <w:pPr>
              <w:spacing w:line="360" w:lineRule="exact"/>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625" w:type="dxa"/>
            <w:vMerge w:val="restart"/>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三</w:t>
            </w: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635" w:type="dxa"/>
            <w:gridSpan w:val="2"/>
            <w:vAlign w:val="center"/>
          </w:tcPr>
          <w:p>
            <w:pPr>
              <w:jc w:val="center"/>
              <w:rPr>
                <w:color w:val="000000" w:themeColor="text1"/>
                <w14:textFill>
                  <w14:solidFill>
                    <w14:schemeClr w14:val="tx1"/>
                  </w14:solidFill>
                </w14:textFill>
              </w:rPr>
            </w:pPr>
            <w:r>
              <w:rPr>
                <w:color w:val="000000" w:themeColor="text1"/>
                <w:szCs w:val="21"/>
                <w14:textFill>
                  <w14:solidFill>
                    <w14:schemeClr w14:val="tx1"/>
                  </w14:solidFill>
                </w14:textFill>
              </w:rPr>
              <w:t>16</w:t>
            </w:r>
          </w:p>
        </w:tc>
        <w:tc>
          <w:tcPr>
            <w:tcW w:w="733"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955" w:type="dxa"/>
            <w:vAlign w:val="center"/>
          </w:tcPr>
          <w:p>
            <w:pPr>
              <w:spacing w:line="360" w:lineRule="exact"/>
              <w:jc w:val="center"/>
              <w:rPr>
                <w:color w:val="000000" w:themeColor="text1"/>
                <w:szCs w:val="21"/>
                <w14:textFill>
                  <w14:solidFill>
                    <w14:schemeClr w14:val="tx1"/>
                  </w14:solidFill>
                </w14:textFill>
              </w:rPr>
            </w:pPr>
          </w:p>
        </w:tc>
        <w:tc>
          <w:tcPr>
            <w:tcW w:w="74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198" w:type="dxa"/>
            <w:vAlign w:val="center"/>
          </w:tcPr>
          <w:p>
            <w:pPr>
              <w:widowControl/>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264" w:type="dxa"/>
            <w:vAlign w:val="center"/>
          </w:tcPr>
          <w:p>
            <w:pPr>
              <w:spacing w:line="360" w:lineRule="exact"/>
              <w:jc w:val="center"/>
              <w:rPr>
                <w:color w:val="000000" w:themeColor="text1"/>
                <w:szCs w:val="21"/>
                <w14:textFill>
                  <w14:solidFill>
                    <w14:schemeClr w14:val="tx1"/>
                  </w14:solidFill>
                </w14:textFill>
              </w:rPr>
            </w:pPr>
          </w:p>
        </w:tc>
        <w:tc>
          <w:tcPr>
            <w:tcW w:w="767"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273" w:type="dxa"/>
            <w:vAlign w:val="center"/>
          </w:tcPr>
          <w:p>
            <w:pPr>
              <w:spacing w:line="360" w:lineRule="exact"/>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625" w:type="dxa"/>
            <w:vMerge w:val="continue"/>
            <w:vAlign w:val="center"/>
          </w:tcPr>
          <w:p>
            <w:pPr>
              <w:spacing w:line="360" w:lineRule="exact"/>
              <w:jc w:val="center"/>
              <w:rPr>
                <w:color w:val="000000" w:themeColor="text1"/>
                <w:szCs w:val="21"/>
                <w14:textFill>
                  <w14:solidFill>
                    <w14:schemeClr w14:val="tx1"/>
                  </w14:solidFill>
                </w14:textFill>
              </w:rPr>
            </w:pP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635" w:type="dxa"/>
            <w:gridSpan w:val="2"/>
            <w:vAlign w:val="center"/>
          </w:tcPr>
          <w:p>
            <w:pPr>
              <w:jc w:val="center"/>
              <w:rPr>
                <w:color w:val="000000" w:themeColor="text1"/>
                <w14:textFill>
                  <w14:solidFill>
                    <w14:schemeClr w14:val="tx1"/>
                  </w14:solidFill>
                </w14:textFill>
              </w:rPr>
            </w:pPr>
            <w:r>
              <w:rPr>
                <w:color w:val="000000" w:themeColor="text1"/>
                <w:szCs w:val="21"/>
                <w14:textFill>
                  <w14:solidFill>
                    <w14:schemeClr w14:val="tx1"/>
                  </w14:solidFill>
                </w14:textFill>
              </w:rPr>
              <w:t>16</w:t>
            </w:r>
          </w:p>
        </w:tc>
        <w:tc>
          <w:tcPr>
            <w:tcW w:w="733"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955" w:type="dxa"/>
            <w:vAlign w:val="center"/>
          </w:tcPr>
          <w:p>
            <w:pPr>
              <w:spacing w:line="360" w:lineRule="exact"/>
              <w:jc w:val="center"/>
              <w:rPr>
                <w:color w:val="000000" w:themeColor="text1"/>
                <w:szCs w:val="21"/>
                <w14:textFill>
                  <w14:solidFill>
                    <w14:schemeClr w14:val="tx1"/>
                  </w14:solidFill>
                </w14:textFill>
              </w:rPr>
            </w:pPr>
          </w:p>
        </w:tc>
        <w:tc>
          <w:tcPr>
            <w:tcW w:w="74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198"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264" w:type="dxa"/>
            <w:vAlign w:val="center"/>
          </w:tcPr>
          <w:p>
            <w:pPr>
              <w:spacing w:line="360" w:lineRule="exact"/>
              <w:jc w:val="center"/>
              <w:rPr>
                <w:color w:val="000000" w:themeColor="text1"/>
                <w:szCs w:val="21"/>
                <w14:textFill>
                  <w14:solidFill>
                    <w14:schemeClr w14:val="tx1"/>
                  </w14:solidFill>
                </w14:textFill>
              </w:rPr>
            </w:pPr>
          </w:p>
        </w:tc>
        <w:tc>
          <w:tcPr>
            <w:tcW w:w="767" w:type="dxa"/>
            <w:vAlign w:val="center"/>
          </w:tcPr>
          <w:p>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273" w:type="dxa"/>
            <w:vAlign w:val="center"/>
          </w:tcPr>
          <w:p>
            <w:pPr>
              <w:spacing w:line="360" w:lineRule="exact"/>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625" w:type="dxa"/>
            <w:vMerge w:val="restart"/>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四</w:t>
            </w: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635" w:type="dxa"/>
            <w:gridSpan w:val="2"/>
            <w:vAlign w:val="center"/>
          </w:tcPr>
          <w:p>
            <w:pPr>
              <w:jc w:val="center"/>
              <w:rPr>
                <w:color w:val="000000" w:themeColor="text1"/>
                <w14:textFill>
                  <w14:solidFill>
                    <w14:schemeClr w14:val="tx1"/>
                  </w14:solidFill>
                </w14:textFill>
              </w:rPr>
            </w:pPr>
          </w:p>
        </w:tc>
        <w:tc>
          <w:tcPr>
            <w:tcW w:w="733" w:type="dxa"/>
            <w:vAlign w:val="center"/>
          </w:tcPr>
          <w:p>
            <w:pPr>
              <w:spacing w:line="300" w:lineRule="exact"/>
              <w:jc w:val="center"/>
              <w:rPr>
                <w:color w:val="000000" w:themeColor="text1"/>
                <w:szCs w:val="21"/>
                <w14:textFill>
                  <w14:solidFill>
                    <w14:schemeClr w14:val="tx1"/>
                  </w14:solidFill>
                </w14:textFill>
              </w:rPr>
            </w:pPr>
          </w:p>
        </w:tc>
        <w:tc>
          <w:tcPr>
            <w:tcW w:w="955" w:type="dxa"/>
            <w:vAlign w:val="center"/>
          </w:tcPr>
          <w:p>
            <w:pPr>
              <w:spacing w:line="360" w:lineRule="exact"/>
              <w:jc w:val="center"/>
              <w:rPr>
                <w:color w:val="000000" w:themeColor="text1"/>
                <w:szCs w:val="21"/>
                <w14:textFill>
                  <w14:solidFill>
                    <w14:schemeClr w14:val="tx1"/>
                  </w14:solidFill>
                </w14:textFill>
              </w:rPr>
            </w:pPr>
          </w:p>
        </w:tc>
        <w:tc>
          <w:tcPr>
            <w:tcW w:w="749" w:type="dxa"/>
            <w:vAlign w:val="center"/>
          </w:tcPr>
          <w:p>
            <w:pPr>
              <w:spacing w:line="360" w:lineRule="exact"/>
              <w:jc w:val="center"/>
              <w:rPr>
                <w:color w:val="000000" w:themeColor="text1"/>
                <w:szCs w:val="21"/>
                <w14:textFill>
                  <w14:solidFill>
                    <w14:schemeClr w14:val="tx1"/>
                  </w14:solidFill>
                </w14:textFill>
              </w:rPr>
            </w:pPr>
          </w:p>
        </w:tc>
        <w:tc>
          <w:tcPr>
            <w:tcW w:w="1198" w:type="dxa"/>
            <w:vAlign w:val="center"/>
          </w:tcPr>
          <w:p>
            <w:pPr>
              <w:spacing w:line="360" w:lineRule="exact"/>
              <w:jc w:val="center"/>
              <w:rPr>
                <w:color w:val="000000" w:themeColor="text1"/>
                <w:szCs w:val="21"/>
                <w14:textFill>
                  <w14:solidFill>
                    <w14:schemeClr w14:val="tx1"/>
                  </w14:solidFill>
                </w14:textFill>
              </w:rPr>
            </w:pPr>
          </w:p>
        </w:tc>
        <w:tc>
          <w:tcPr>
            <w:tcW w:w="1264"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67" w:type="dxa"/>
            <w:vAlign w:val="center"/>
          </w:tcPr>
          <w:p>
            <w:pPr>
              <w:spacing w:line="300" w:lineRule="exact"/>
              <w:jc w:val="center"/>
              <w:rPr>
                <w:color w:val="000000" w:themeColor="text1"/>
                <w:szCs w:val="21"/>
                <w14:textFill>
                  <w14:solidFill>
                    <w14:schemeClr w14:val="tx1"/>
                  </w14:solidFill>
                </w14:textFill>
              </w:rPr>
            </w:pPr>
          </w:p>
        </w:tc>
        <w:tc>
          <w:tcPr>
            <w:tcW w:w="1273" w:type="dxa"/>
            <w:vAlign w:val="center"/>
          </w:tcPr>
          <w:p>
            <w:pPr>
              <w:spacing w:line="360" w:lineRule="exact"/>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625" w:type="dxa"/>
            <w:vMerge w:val="continue"/>
            <w:vAlign w:val="center"/>
          </w:tcPr>
          <w:p>
            <w:pPr>
              <w:spacing w:line="360" w:lineRule="exact"/>
              <w:jc w:val="center"/>
              <w:rPr>
                <w:color w:val="000000" w:themeColor="text1"/>
                <w:szCs w:val="21"/>
                <w14:textFill>
                  <w14:solidFill>
                    <w14:schemeClr w14:val="tx1"/>
                  </w14:solidFill>
                </w14:textFill>
              </w:rPr>
            </w:pPr>
          </w:p>
        </w:tc>
        <w:tc>
          <w:tcPr>
            <w:tcW w:w="68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635" w:type="dxa"/>
            <w:gridSpan w:val="2"/>
            <w:vAlign w:val="center"/>
          </w:tcPr>
          <w:p>
            <w:pPr>
              <w:jc w:val="center"/>
              <w:rPr>
                <w:color w:val="000000" w:themeColor="text1"/>
                <w14:textFill>
                  <w14:solidFill>
                    <w14:schemeClr w14:val="tx1"/>
                  </w14:solidFill>
                </w14:textFill>
              </w:rPr>
            </w:pPr>
          </w:p>
        </w:tc>
        <w:tc>
          <w:tcPr>
            <w:tcW w:w="733" w:type="dxa"/>
            <w:vAlign w:val="center"/>
          </w:tcPr>
          <w:p>
            <w:pPr>
              <w:spacing w:line="300" w:lineRule="exact"/>
              <w:jc w:val="center"/>
              <w:rPr>
                <w:color w:val="000000" w:themeColor="text1"/>
                <w:szCs w:val="21"/>
                <w14:textFill>
                  <w14:solidFill>
                    <w14:schemeClr w14:val="tx1"/>
                  </w14:solidFill>
                </w14:textFill>
              </w:rPr>
            </w:pPr>
          </w:p>
        </w:tc>
        <w:tc>
          <w:tcPr>
            <w:tcW w:w="95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749" w:type="dxa"/>
            <w:vAlign w:val="center"/>
          </w:tcPr>
          <w:p>
            <w:pPr>
              <w:spacing w:line="360" w:lineRule="exact"/>
              <w:jc w:val="center"/>
              <w:rPr>
                <w:color w:val="000000" w:themeColor="text1"/>
                <w:szCs w:val="21"/>
                <w14:textFill>
                  <w14:solidFill>
                    <w14:schemeClr w14:val="tx1"/>
                  </w14:solidFill>
                </w14:textFill>
              </w:rPr>
            </w:pPr>
          </w:p>
        </w:tc>
        <w:tc>
          <w:tcPr>
            <w:tcW w:w="1198" w:type="dxa"/>
            <w:vAlign w:val="center"/>
          </w:tcPr>
          <w:p>
            <w:pPr>
              <w:spacing w:line="360" w:lineRule="exact"/>
              <w:jc w:val="center"/>
              <w:rPr>
                <w:color w:val="000000" w:themeColor="text1"/>
                <w:szCs w:val="21"/>
                <w14:textFill>
                  <w14:solidFill>
                    <w14:schemeClr w14:val="tx1"/>
                  </w14:solidFill>
                </w14:textFill>
              </w:rPr>
            </w:pPr>
          </w:p>
        </w:tc>
        <w:tc>
          <w:tcPr>
            <w:tcW w:w="1264" w:type="dxa"/>
            <w:vAlign w:val="center"/>
          </w:tcPr>
          <w:p>
            <w:pPr>
              <w:spacing w:line="360" w:lineRule="exact"/>
              <w:jc w:val="center"/>
              <w:rPr>
                <w:color w:val="000000" w:themeColor="text1"/>
                <w:szCs w:val="21"/>
                <w14:textFill>
                  <w14:solidFill>
                    <w14:schemeClr w14:val="tx1"/>
                  </w14:solidFill>
                </w14:textFill>
              </w:rPr>
            </w:pPr>
          </w:p>
        </w:tc>
        <w:tc>
          <w:tcPr>
            <w:tcW w:w="767" w:type="dxa"/>
            <w:vAlign w:val="center"/>
          </w:tcPr>
          <w:p>
            <w:pPr>
              <w:spacing w:line="300" w:lineRule="exact"/>
              <w:jc w:val="center"/>
              <w:rPr>
                <w:color w:val="000000" w:themeColor="text1"/>
                <w:szCs w:val="21"/>
                <w14:textFill>
                  <w14:solidFill>
                    <w14:schemeClr w14:val="tx1"/>
                  </w14:solidFill>
                </w14:textFill>
              </w:rPr>
            </w:pPr>
          </w:p>
        </w:tc>
        <w:tc>
          <w:tcPr>
            <w:tcW w:w="1273"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323" w:type="dxa"/>
            <w:gridSpan w:val="3"/>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（周）</w:t>
            </w:r>
          </w:p>
        </w:tc>
        <w:tc>
          <w:tcPr>
            <w:tcW w:w="622"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96</w:t>
            </w:r>
          </w:p>
        </w:tc>
        <w:tc>
          <w:tcPr>
            <w:tcW w:w="733"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955"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749"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198"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1264"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67"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1273" w:type="dxa"/>
            <w:vAlign w:val="center"/>
          </w:tcPr>
          <w:p>
            <w:pPr>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r>
    </w:tbl>
    <w:p>
      <w:pPr>
        <w:spacing w:before="167" w:beforeLines="50" w:line="400" w:lineRule="exact"/>
        <w:ind w:firstLine="470" w:firstLineChars="196"/>
        <w:rPr>
          <w:rFonts w:eastAsia="黑体"/>
          <w:color w:val="000000" w:themeColor="text1"/>
          <w:sz w:val="24"/>
          <w:szCs w:val="28"/>
          <w14:textFill>
            <w14:solidFill>
              <w14:schemeClr w14:val="tx1"/>
            </w14:solidFill>
          </w14:textFill>
        </w:rPr>
      </w:pPr>
      <w:r>
        <w:rPr>
          <w:rFonts w:eastAsia="黑体"/>
          <w:color w:val="000000" w:themeColor="text1"/>
          <w:sz w:val="24"/>
          <w14:textFill>
            <w14:solidFill>
              <w14:schemeClr w14:val="tx1"/>
            </w14:solidFill>
          </w14:textFill>
        </w:rPr>
        <w:t>八、</w:t>
      </w:r>
      <w:r>
        <w:rPr>
          <w:rFonts w:eastAsia="黑体"/>
          <w:color w:val="000000" w:themeColor="text1"/>
          <w:sz w:val="24"/>
          <w:szCs w:val="28"/>
          <w14:textFill>
            <w14:solidFill>
              <w14:schemeClr w14:val="tx1"/>
            </w14:solidFill>
          </w14:textFill>
        </w:rPr>
        <w:t>各学期教学计划表</w:t>
      </w:r>
    </w:p>
    <w:p>
      <w:pPr>
        <w:spacing w:line="400" w:lineRule="exact"/>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w:t>
      </w:r>
    </w:p>
    <w:p>
      <w:pPr>
        <w:spacing w:line="400" w:lineRule="exact"/>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1.教学计划表中的课程类别A类为必修课，B类为限选课，C类为任选课。</w:t>
      </w:r>
    </w:p>
    <w:p>
      <w:pPr>
        <w:spacing w:line="400" w:lineRule="exact"/>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2.教学计划表中的课程标识“</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”代表核心课程，“▲”代表与行业、企业联合开发的课程，“</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”代表创新创业类课程。</w:t>
      </w:r>
    </w:p>
    <w:tbl>
      <w:tblPr>
        <w:tblStyle w:val="7"/>
        <w:tblW w:w="10180" w:type="dxa"/>
        <w:jc w:val="center"/>
        <w:tblLayout w:type="autofit"/>
        <w:tblCellMar>
          <w:top w:w="0" w:type="dxa"/>
          <w:left w:w="108" w:type="dxa"/>
          <w:bottom w:w="0" w:type="dxa"/>
          <w:right w:w="108" w:type="dxa"/>
        </w:tblCellMar>
      </w:tblPr>
      <w:tblGrid>
        <w:gridCol w:w="524"/>
        <w:gridCol w:w="640"/>
        <w:gridCol w:w="916"/>
        <w:gridCol w:w="2340"/>
        <w:gridCol w:w="560"/>
        <w:gridCol w:w="700"/>
        <w:gridCol w:w="880"/>
        <w:gridCol w:w="640"/>
        <w:gridCol w:w="740"/>
        <w:gridCol w:w="760"/>
        <w:gridCol w:w="680"/>
        <w:gridCol w:w="800"/>
      </w:tblGrid>
      <w:tr>
        <w:tblPrEx>
          <w:tblCellMar>
            <w:top w:w="0" w:type="dxa"/>
            <w:left w:w="108" w:type="dxa"/>
            <w:bottom w:w="0" w:type="dxa"/>
            <w:right w:w="108" w:type="dxa"/>
          </w:tblCellMar>
        </w:tblPrEx>
        <w:trPr>
          <w:trHeight w:val="240" w:hRule="atLeast"/>
          <w:jc w:val="center"/>
        </w:trPr>
        <w:tc>
          <w:tcPr>
            <w:tcW w:w="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课程模块</w:t>
            </w:r>
          </w:p>
        </w:tc>
        <w:tc>
          <w:tcPr>
            <w:tcW w:w="6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课程类别</w:t>
            </w:r>
          </w:p>
        </w:tc>
        <w:tc>
          <w:tcPr>
            <w:tcW w:w="8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课程代码</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课程名称</w:t>
            </w:r>
          </w:p>
        </w:tc>
        <w:tc>
          <w:tcPr>
            <w:tcW w:w="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课程标识</w:t>
            </w:r>
          </w:p>
        </w:tc>
        <w:tc>
          <w:tcPr>
            <w:tcW w:w="7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EMI教学课程</w:t>
            </w:r>
          </w:p>
        </w:tc>
        <w:tc>
          <w:tcPr>
            <w:tcW w:w="8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学分数</w:t>
            </w:r>
          </w:p>
        </w:tc>
        <w:tc>
          <w:tcPr>
            <w:tcW w:w="13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学时数</w:t>
            </w:r>
          </w:p>
        </w:tc>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平均周学时</w:t>
            </w:r>
          </w:p>
        </w:tc>
        <w:tc>
          <w:tcPr>
            <w:tcW w:w="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开课学期</w:t>
            </w:r>
          </w:p>
        </w:tc>
        <w:tc>
          <w:tcPr>
            <w:tcW w:w="8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考核方式</w:t>
            </w:r>
          </w:p>
        </w:tc>
      </w:tr>
      <w:tr>
        <w:tblPrEx>
          <w:tblCellMar>
            <w:top w:w="0" w:type="dxa"/>
            <w:left w:w="108" w:type="dxa"/>
            <w:bottom w:w="0" w:type="dxa"/>
            <w:right w:w="108" w:type="dxa"/>
          </w:tblCellMar>
        </w:tblPrEx>
        <w:trPr>
          <w:trHeight w:val="720"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课内总学时</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其中实践学时</w:t>
            </w: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70" w:hRule="atLeast"/>
          <w:jc w:val="center"/>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通识课程</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0302101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思想道德与法治</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7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0601110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中国近现代史纲要</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7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0302002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马克思主义基本原理</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48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0302105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毛泽东思想和中国特色社会主义理论体系概论</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48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0302106</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习近平新时代中国特色社会主义思想概论</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7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0304021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形势与政策1</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2180"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“形势与政策”课程第1-4学期每学期0.5学分，总计2学分；第5-8学期结合政治学习开展实践教学，不计算学时学分。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0304022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形势与政策2</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218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0304023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形势与政策3</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218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615"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0304024</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形势与政策4</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218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1201001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军事理论</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0502008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大学英语A(1)</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0502009</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大学英语A(2)</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0502010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大学英语A(3)</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0502011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大学英语A(4)</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0402005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大学体育(1)</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28</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0402006</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大学体育(2)</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0402007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大学体育(3)</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0402008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大学体育(4)</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1102303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创新创业实务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0001188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大学生心理健康教育</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0701288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口语交流基础</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0701299</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学术英语写作</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0701300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明辨性思维</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0701301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国际化课程学习技能</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0701302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个人发展</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1102302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大学生就业指导</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0701304</w:t>
            </w:r>
          </w:p>
        </w:tc>
        <w:tc>
          <w:tcPr>
            <w:tcW w:w="2340" w:type="dxa"/>
            <w:tcBorders>
              <w:top w:val="nil"/>
              <w:left w:val="nil"/>
              <w:bottom w:val="single" w:color="auto" w:sz="4" w:space="0"/>
              <w:right w:val="single" w:color="auto" w:sz="4" w:space="0"/>
            </w:tcBorders>
            <w:shd w:val="clear" w:color="000000" w:fill="FFFF00"/>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AISEC服务研习I</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302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0701305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跨文化交流</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48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29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每生应在以上B类课程中限选3学分，48学时</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0601211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党史</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21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每生至少从“四史”中选修1门课程</w:t>
            </w:r>
          </w:p>
        </w:tc>
        <w:tc>
          <w:tcPr>
            <w:tcW w:w="8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0601212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新中国史</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218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0601213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改革开放史</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218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0601214</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社会主义发展史</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218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78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公共选修课</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112</w:t>
            </w:r>
          </w:p>
        </w:tc>
        <w:tc>
          <w:tcPr>
            <w:tcW w:w="21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每生需从学校开设的校选课中任选7学分，其中艺术类选修课2学分</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62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1124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302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480" w:hRule="atLeast"/>
          <w:jc w:val="center"/>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学科基础课</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0701141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数据科学与大数据技术专业导论</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0701240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信息科学概论</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24</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0806095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程序设计基础</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0701332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高等数学Ｉ</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80</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0701333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高等数学II</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80</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0701080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线性代数</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0701081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离散数学</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0806080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算法与数据结构</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0701309</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概率与统计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普通物理学</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普通物理实验</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面向对象编程</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0701077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运筹学</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合计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39</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656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152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专业课程</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数据库系统入门</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0701314</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统计学</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0701163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大数据技术原理</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0701209</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计算机网络</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计算机组成</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0806013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操作系统</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小计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288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88</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专业课程</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0701295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python语言程序设计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0701296</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数据采集与预处理</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0701166</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数据存储与管理</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0701297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数据挖掘原理</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0701168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大数据开发技术</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64</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0809048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项目管理</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0809046</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机器学习</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考试</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0701298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数据可视化</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0701182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信息检索与论文写作</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B</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软件工程</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799"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17</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272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128</w:t>
            </w:r>
          </w:p>
        </w:tc>
        <w:tc>
          <w:tcPr>
            <w:tcW w:w="2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限选课中至少应选修17学分，272学时</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9620"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智能分析与处理方向</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信息安全</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0809044</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统计分析与行业应用</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0701197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大数据技术实践1</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Web系统开发</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0806077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人工智能</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0809082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移动应用开发</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0701173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并行计算</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0806159</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数学建模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0806172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商业智能</w:t>
            </w:r>
          </w:p>
        </w:tc>
        <w:tc>
          <w:tcPr>
            <w:tcW w:w="560" w:type="dxa"/>
            <w:tcBorders>
              <w:top w:val="nil"/>
              <w:left w:val="nil"/>
              <w:bottom w:val="nil"/>
              <w:right w:val="nil"/>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0701334</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深度学习入门</w:t>
            </w:r>
          </w:p>
        </w:tc>
        <w:tc>
          <w:tcPr>
            <w:tcW w:w="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9620"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产业大数据方向</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0809033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智能制造基础</w:t>
            </w:r>
          </w:p>
        </w:tc>
        <w:tc>
          <w:tcPr>
            <w:tcW w:w="560" w:type="dxa"/>
            <w:tcBorders>
              <w:top w:val="nil"/>
              <w:left w:val="nil"/>
              <w:bottom w:val="nil"/>
              <w:right w:val="nil"/>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0701319</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分布式软件系统原理</w:t>
            </w:r>
          </w:p>
        </w:tc>
        <w:tc>
          <w:tcPr>
            <w:tcW w:w="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0701157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数字图像处理</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0701322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区块链导论</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0701320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产业大数据应用实践</w:t>
            </w:r>
          </w:p>
        </w:tc>
        <w:tc>
          <w:tcPr>
            <w:tcW w:w="560" w:type="dxa"/>
            <w:tcBorders>
              <w:top w:val="nil"/>
              <w:left w:val="nil"/>
              <w:bottom w:val="nil"/>
              <w:right w:val="nil"/>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p>
        </w:tc>
        <w:tc>
          <w:tcPr>
            <w:tcW w:w="7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0701242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自然语言处理</w:t>
            </w:r>
          </w:p>
        </w:tc>
        <w:tc>
          <w:tcPr>
            <w:tcW w:w="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0701198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大数据技术实践2</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0701243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语音识别</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0701321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元宇宙导论</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120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C</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0701160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创新实践</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21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学生参加专业竞赛，申请软著、专利，在计算机专业类期刊或会议发表论文可以获得两学分，第7学期认定</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72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128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40</w:t>
            </w:r>
          </w:p>
        </w:tc>
        <w:tc>
          <w:tcPr>
            <w:tcW w:w="2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任选课中至少应选修8学分，128学时</w:t>
            </w:r>
          </w:p>
        </w:tc>
      </w:tr>
      <w:tr>
        <w:tblPrEx>
          <w:tblCellMar>
            <w:top w:w="0" w:type="dxa"/>
            <w:left w:w="108" w:type="dxa"/>
            <w:bottom w:w="0" w:type="dxa"/>
            <w:right w:w="108" w:type="dxa"/>
          </w:tblCellMar>
        </w:tblPrEx>
        <w:trPr>
          <w:trHeight w:val="240" w:hRule="atLeast"/>
          <w:jc w:val="center"/>
        </w:trPr>
        <w:tc>
          <w:tcPr>
            <w:tcW w:w="44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合计(专业方向课程)</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43</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688</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256</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集中实践课程</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0701292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入学教育</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0701234</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军事训练</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毕业论文(设计)</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14周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0701293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专业实习</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0701214</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课程设计(1)</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课程设计(2)</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0701216</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课程设计(3)</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课程设计(4)</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0701316</w:t>
            </w:r>
          </w:p>
        </w:tc>
        <w:tc>
          <w:tcPr>
            <w:tcW w:w="2340" w:type="dxa"/>
            <w:tcBorders>
              <w:top w:val="nil"/>
              <w:left w:val="nil"/>
              <w:bottom w:val="single" w:color="auto" w:sz="4" w:space="0"/>
              <w:right w:val="single" w:color="auto" w:sz="4" w:space="0"/>
            </w:tcBorders>
            <w:shd w:val="clear" w:color="000000" w:fill="FFFF00"/>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AISEC服务研习II</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合计(集中实践课程)</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26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34周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CellMar>
            <w:top w:w="0" w:type="dxa"/>
            <w:left w:w="108" w:type="dxa"/>
            <w:bottom w:w="0" w:type="dxa"/>
            <w:right w:w="108" w:type="dxa"/>
          </w:tblCellMar>
        </w:tblPrEx>
        <w:trPr>
          <w:trHeight w:val="360" w:hRule="atLeast"/>
          <w:jc w:val="center"/>
        </w:trPr>
        <w:tc>
          <w:tcPr>
            <w:tcW w:w="5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素质拓展课程</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0701218</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公益劳动(1)</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140"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学生应参加学校组织的各种公益劳动，每学期不少于1周</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390"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0701219</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公益劳动(2)</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14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85"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0701220</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公益劳动(3)</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14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0701221</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公益劳动(4)</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14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0701222</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公益劳动(5)</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14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0701223</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公益劳动(6)</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140" w:type="dxa"/>
            <w:gridSpan w:val="3"/>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1050"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A</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0701225</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社会实践</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1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主要安排在假期进行，每生在学期间参加社会实践活动的时间累计应不少于4周。</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1-7</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480"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Ａ</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0502407</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创新创业及专业素质能力实践</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0周</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考查</w:t>
            </w:r>
          </w:p>
        </w:tc>
      </w:tr>
      <w:tr>
        <w:tblPrEx>
          <w:tblCellMar>
            <w:top w:w="0" w:type="dxa"/>
            <w:left w:w="108" w:type="dxa"/>
            <w:bottom w:w="0" w:type="dxa"/>
            <w:right w:w="108" w:type="dxa"/>
          </w:tblCellMar>
        </w:tblPrEx>
        <w:trPr>
          <w:trHeight w:val="240" w:hRule="atLeast"/>
          <w:jc w:val="center"/>
        </w:trPr>
        <w:tc>
          <w:tcPr>
            <w:tcW w:w="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合计(素质拓展课程)</w:t>
            </w:r>
          </w:p>
        </w:tc>
        <w:tc>
          <w:tcPr>
            <w:tcW w:w="5760"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每生需取得一定积分的第二课堂成绩单，具体实施细则另定</w:t>
            </w:r>
          </w:p>
        </w:tc>
      </w:tr>
      <w:tr>
        <w:tblPrEx>
          <w:tblCellMar>
            <w:top w:w="0" w:type="dxa"/>
            <w:left w:w="108" w:type="dxa"/>
            <w:bottom w:w="0" w:type="dxa"/>
            <w:right w:w="108" w:type="dxa"/>
          </w:tblCellMar>
        </w:tblPrEx>
        <w:trPr>
          <w:trHeight w:val="240" w:hRule="atLeast"/>
          <w:jc w:val="center"/>
        </w:trPr>
        <w:tc>
          <w:tcPr>
            <w:tcW w:w="5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3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总计</w:t>
            </w:r>
          </w:p>
        </w:tc>
        <w:tc>
          <w:tcPr>
            <w:tcW w:w="5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7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8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170</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2468</w:t>
            </w:r>
          </w:p>
        </w:tc>
        <w:tc>
          <w:tcPr>
            <w:tcW w:w="74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710</w:t>
            </w:r>
          </w:p>
        </w:tc>
        <w:tc>
          <w:tcPr>
            <w:tcW w:w="7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8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bl>
    <w:p>
      <w:pPr>
        <w:widowControl/>
        <w:jc w:val="left"/>
        <w:rPr>
          <w:rFonts w:eastAsia="黑体"/>
          <w:color w:val="000000" w:themeColor="text1"/>
          <w:sz w:val="24"/>
          <w14:textFill>
            <w14:solidFill>
              <w14:schemeClr w14:val="tx1"/>
            </w14:solidFill>
          </w14:textFill>
        </w:rPr>
      </w:pPr>
      <w:r>
        <w:rPr>
          <w:rFonts w:eastAsia="黑体"/>
          <w:color w:val="000000" w:themeColor="text1"/>
          <w:sz w:val="24"/>
          <w14:textFill>
            <w14:solidFill>
              <w14:schemeClr w14:val="tx1"/>
            </w14:solidFill>
          </w14:textFill>
        </w:rPr>
        <w:t>九、支撑矩阵</w:t>
      </w:r>
    </w:p>
    <w:p>
      <w:pPr>
        <w:spacing w:line="500" w:lineRule="exact"/>
        <w:ind w:firstLine="422" w:firstLineChars="200"/>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1.毕业要求对培养目标的支撑矩阵</w:t>
      </w:r>
    </w:p>
    <w:tbl>
      <w:tblPr>
        <w:tblStyle w:val="7"/>
        <w:tblW w:w="7695" w:type="dxa"/>
        <w:jc w:val="center"/>
        <w:tblCellSpacing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0" w:type="dxa"/>
          <w:bottom w:w="0" w:type="dxa"/>
          <w:right w:w="0" w:type="dxa"/>
        </w:tblCellMar>
      </w:tblPr>
      <w:tblGrid>
        <w:gridCol w:w="1539"/>
        <w:gridCol w:w="1539"/>
        <w:gridCol w:w="1539"/>
        <w:gridCol w:w="1539"/>
        <w:gridCol w:w="153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培养目标1</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培养目标2</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培养目标3</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培养目标4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毕业要求1</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毕业要求2</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毕业要求3</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毕业要求4</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毕业要求5</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毕业要求6</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毕业要求7</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毕业要求8</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毕业要求9</w:t>
            </w:r>
          </w:p>
        </w:tc>
        <w:tc>
          <w:tcPr>
            <w:tcW w:w="1539" w:type="dxa"/>
            <w:shd w:val="clear" w:color="auto" w:fill="FFFFFF"/>
            <w:tcMar>
              <w:top w:w="72" w:type="dxa"/>
              <w:left w:w="192" w:type="dxa"/>
              <w:bottom w:w="72" w:type="dxa"/>
              <w:right w:w="192" w:type="dxa"/>
            </w:tcMar>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毕业要求10</w:t>
            </w:r>
          </w:p>
        </w:tc>
        <w:tc>
          <w:tcPr>
            <w:tcW w:w="1539" w:type="dxa"/>
            <w:shd w:val="clear" w:color="auto" w:fill="FFFFFF"/>
            <w:tcMar>
              <w:top w:w="72" w:type="dxa"/>
              <w:left w:w="192" w:type="dxa"/>
              <w:bottom w:w="72" w:type="dxa"/>
              <w:right w:w="192" w:type="dxa"/>
            </w:tcMar>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毕业要求11</w:t>
            </w:r>
          </w:p>
        </w:tc>
        <w:tc>
          <w:tcPr>
            <w:tcW w:w="1539" w:type="dxa"/>
            <w:shd w:val="clear" w:color="auto" w:fill="FFFFFF"/>
            <w:tcMar>
              <w:top w:w="72" w:type="dxa"/>
              <w:left w:w="192" w:type="dxa"/>
              <w:bottom w:w="72" w:type="dxa"/>
              <w:right w:w="192" w:type="dxa"/>
            </w:tcMar>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szCs w:val="21"/>
                <w14:textFill>
                  <w14:solidFill>
                    <w14:schemeClr w14:val="tx1"/>
                  </w14:solidFill>
                </w14:textFill>
              </w:rPr>
            </w:pPr>
            <w:r>
              <w:rPr>
                <w:color w:val="000000" w:themeColor="text1"/>
                <w:kern w:val="2"/>
                <w:sz w:val="21"/>
                <w:szCs w:val="21"/>
                <w14:textFill>
                  <w14:solidFill>
                    <w14:schemeClr w14:val="tx1"/>
                  </w14:solidFill>
                </w14:textFill>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40" w:hRule="atLeast"/>
          <w:tblCellSpacing w:w="0" w:type="dxa"/>
          <w:jc w:val="center"/>
        </w:trPr>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毕业要求12</w:t>
            </w:r>
          </w:p>
        </w:tc>
        <w:tc>
          <w:tcPr>
            <w:tcW w:w="1539" w:type="dxa"/>
            <w:shd w:val="clear" w:color="auto" w:fill="FFFFFF"/>
            <w:tcMar>
              <w:top w:w="72" w:type="dxa"/>
              <w:left w:w="192" w:type="dxa"/>
              <w:bottom w:w="72" w:type="dxa"/>
              <w:right w:w="192" w:type="dxa"/>
            </w:tcMar>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p>
        </w:tc>
        <w:tc>
          <w:tcPr>
            <w:tcW w:w="1539" w:type="dxa"/>
            <w:shd w:val="clear" w:color="auto" w:fill="FFFFFF"/>
            <w:tcMar>
              <w:top w:w="72" w:type="dxa"/>
              <w:left w:w="192" w:type="dxa"/>
              <w:bottom w:w="72" w:type="dxa"/>
              <w:right w:w="192" w:type="dxa"/>
            </w:tcMar>
            <w:vAlign w:val="center"/>
          </w:tcPr>
          <w:p>
            <w:pPr>
              <w:pStyle w:val="6"/>
              <w:jc w:val="center"/>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w:t>
            </w:r>
          </w:p>
        </w:tc>
        <w:tc>
          <w:tcPr>
            <w:tcW w:w="1539" w:type="dxa"/>
            <w:shd w:val="clear" w:color="auto" w:fill="FFFFFF"/>
            <w:tcMar>
              <w:top w:w="72" w:type="dxa"/>
              <w:left w:w="192" w:type="dxa"/>
              <w:bottom w:w="72" w:type="dxa"/>
              <w:right w:w="192" w:type="dxa"/>
            </w:tcMar>
            <w:vAlign w:val="center"/>
          </w:tcPr>
          <w:p>
            <w:pPr>
              <w:pStyle w:val="6"/>
              <w:jc w:val="center"/>
              <w:rPr>
                <w:color w:val="000000" w:themeColor="text1"/>
                <w:szCs w:val="21"/>
                <w14:textFill>
                  <w14:solidFill>
                    <w14:schemeClr w14:val="tx1"/>
                  </w14:solidFill>
                </w14:textFill>
              </w:rPr>
            </w:pPr>
            <w:r>
              <w:rPr>
                <w:color w:val="000000" w:themeColor="text1"/>
                <w:kern w:val="2"/>
                <w:sz w:val="21"/>
                <w:szCs w:val="21"/>
                <w14:textFill>
                  <w14:solidFill>
                    <w14:schemeClr w14:val="tx1"/>
                  </w14:solidFill>
                </w14:textFill>
              </w:rPr>
              <w:t>√</w:t>
            </w:r>
          </w:p>
        </w:tc>
      </w:tr>
    </w:tbl>
    <w:p>
      <w:pPr>
        <w:spacing w:line="500" w:lineRule="exact"/>
        <w:ind w:firstLine="422" w:firstLineChars="200"/>
        <w:rPr>
          <w:rFonts w:eastAsia="黑体"/>
          <w:color w:val="000000" w:themeColor="text1"/>
          <w:sz w:val="24"/>
          <w14:textFill>
            <w14:solidFill>
              <w14:schemeClr w14:val="tx1"/>
            </w14:solidFill>
          </w14:textFill>
        </w:rPr>
      </w:pPr>
      <w:r>
        <w:rPr>
          <w:b/>
          <w:bCs/>
          <w:color w:val="000000" w:themeColor="text1"/>
          <w:szCs w:val="21"/>
          <w14:textFill>
            <w14:solidFill>
              <w14:schemeClr w14:val="tx1"/>
            </w14:solidFill>
          </w14:textFill>
        </w:rPr>
        <w:t>2.课程体系与毕业要求的关联度矩阵</w:t>
      </w:r>
    </w:p>
    <w:tbl>
      <w:tblPr>
        <w:tblStyle w:val="7"/>
        <w:tblpPr w:leftFromText="180" w:rightFromText="180" w:vertAnchor="text" w:horzAnchor="margin" w:tblpY="118"/>
        <w:tblW w:w="932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520"/>
        <w:gridCol w:w="567"/>
        <w:gridCol w:w="567"/>
        <w:gridCol w:w="567"/>
        <w:gridCol w:w="567"/>
        <w:gridCol w:w="567"/>
        <w:gridCol w:w="567"/>
        <w:gridCol w:w="567"/>
        <w:gridCol w:w="567"/>
        <w:gridCol w:w="567"/>
        <w:gridCol w:w="567"/>
        <w:gridCol w:w="567"/>
        <w:gridCol w:w="5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2" w:hRule="atLeast"/>
          <w:tblHeader/>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课程名称</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1.工程知识</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2.问题分析</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3.方案设计</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4.问题研究</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5.工具使用</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6.工程与社会</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7.环境和可持续发展</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8.职业规范</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9.个人和团队</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10.交流与沟通</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11.项目管理</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12.终身学习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思想道德与法治</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中国近现代史纲要</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马克思主义基本原理</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毛泽东思想和中国特色社会主义理论体系概论</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形势与政策</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大学英语A</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大学体育</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创新创业实务</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大学生心理健康教育</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rPr>
                <w:color w:val="000000" w:themeColor="text1"/>
                <w:kern w:val="0"/>
                <w:sz w:val="20"/>
                <w:szCs w:val="20"/>
                <w14:textFill>
                  <w14:solidFill>
                    <w14:schemeClr w14:val="tx1"/>
                  </w14:solidFill>
                </w14:textFill>
              </w:rPr>
            </w:pPr>
            <w:r>
              <w:rPr>
                <w:color w:val="000000" w:themeColor="text1"/>
                <w:sz w:val="20"/>
                <w:szCs w:val="20"/>
                <w14:textFill>
                  <w14:solidFill>
                    <w14:schemeClr w14:val="tx1"/>
                  </w14:solidFill>
                </w14:textFill>
              </w:rPr>
              <w:t>口语交流基础</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学术英语写作</w:t>
            </w:r>
          </w:p>
        </w:tc>
        <w:tc>
          <w:tcPr>
            <w:tcW w:w="567" w:type="dxa"/>
            <w:tcBorders>
              <w:tl2br w:val="nil"/>
              <w:tr2bl w:val="nil"/>
            </w:tcBorders>
            <w:shd w:val="clear" w:color="auto" w:fill="FFFFFF"/>
            <w:tcMar>
              <w:top w:w="15" w:type="dxa"/>
              <w:left w:w="15" w:type="dxa"/>
              <w:right w:w="15" w:type="dxa"/>
            </w:tcMar>
            <w:vAlign w:val="center"/>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r>
              <w:rPr>
                <w:rFonts w:hint="eastAsia"/>
                <w:color w:val="000000"/>
                <w:sz w:val="20"/>
                <w:szCs w:val="20"/>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r>
              <w:rPr>
                <w:rFonts w:hint="eastAsia"/>
                <w:color w:val="000000"/>
                <w:sz w:val="20"/>
                <w:szCs w:val="20"/>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r>
              <w:rPr>
                <w:rFonts w:hint="eastAsia"/>
                <w:color w:val="000000"/>
                <w:kern w:val="0"/>
                <w:sz w:val="20"/>
                <w:szCs w:val="20"/>
                <w:lang w:bidi="ar"/>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明</w:t>
            </w:r>
            <w:r>
              <w:rPr>
                <w:rFonts w:hint="eastAsia"/>
                <w:color w:val="000000" w:themeColor="text1"/>
                <w:sz w:val="20"/>
                <w:szCs w:val="20"/>
                <w14:textFill>
                  <w14:solidFill>
                    <w14:schemeClr w14:val="tx1"/>
                  </w14:solidFill>
                </w14:textFill>
              </w:rPr>
              <w:t>辨</w:t>
            </w:r>
            <w:bookmarkStart w:id="0" w:name="_GoBack"/>
            <w:bookmarkEnd w:id="0"/>
            <w:r>
              <w:rPr>
                <w:color w:val="000000" w:themeColor="text1"/>
                <w:sz w:val="20"/>
                <w:szCs w:val="20"/>
                <w14:textFill>
                  <w14:solidFill>
                    <w14:schemeClr w14:val="tx1"/>
                  </w14:solidFill>
                </w14:textFill>
              </w:rPr>
              <w:t>性思维</w:t>
            </w:r>
          </w:p>
        </w:tc>
        <w:tc>
          <w:tcPr>
            <w:tcW w:w="567" w:type="dxa"/>
            <w:tcBorders>
              <w:tl2br w:val="nil"/>
              <w:tr2bl w:val="nil"/>
            </w:tcBorders>
            <w:shd w:val="clear" w:color="auto" w:fill="FFFFFF"/>
            <w:tcMar>
              <w:top w:w="15" w:type="dxa"/>
              <w:left w:w="15" w:type="dxa"/>
              <w:right w:w="15" w:type="dxa"/>
            </w:tcMar>
            <w:vAlign w:val="center"/>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sz w:val="20"/>
                <w:szCs w:val="20"/>
              </w:rPr>
            </w:pPr>
            <w:r>
              <w:rPr>
                <w:rFonts w:hint="eastAsia"/>
                <w:color w:val="000000"/>
                <w:sz w:val="20"/>
                <w:szCs w:val="20"/>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r>
              <w:rPr>
                <w:rFonts w:hint="eastAsia"/>
                <w:color w:val="000000"/>
                <w:sz w:val="20"/>
                <w:szCs w:val="20"/>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r>
              <w:rPr>
                <w:rFonts w:hint="eastAsia"/>
                <w:color w:val="000000"/>
                <w:kern w:val="0"/>
                <w:sz w:val="20"/>
                <w:szCs w:val="20"/>
                <w:lang w:bidi="ar"/>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国际化课程学习技能</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个人发展</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rPr>
                <w:color w:val="000000" w:themeColor="text1"/>
                <w:kern w:val="0"/>
                <w:sz w:val="20"/>
                <w:szCs w:val="20"/>
                <w14:textFill>
                  <w14:solidFill>
                    <w14:schemeClr w14:val="tx1"/>
                  </w14:solidFill>
                </w14:textFill>
              </w:rPr>
            </w:pPr>
            <w:r>
              <w:rPr>
                <w:color w:val="000000" w:themeColor="text1"/>
                <w:sz w:val="20"/>
                <w:szCs w:val="20"/>
                <w14:textFill>
                  <w14:solidFill>
                    <w14:schemeClr w14:val="tx1"/>
                  </w14:solidFill>
                </w14:textFill>
              </w:rPr>
              <w:t>就业指导</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AISEC服务研习I</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rPr>
                <w:color w:val="000000" w:themeColor="text1"/>
                <w:kern w:val="0"/>
                <w:sz w:val="20"/>
                <w:szCs w:val="20"/>
                <w14:textFill>
                  <w14:solidFill>
                    <w14:schemeClr w14:val="tx1"/>
                  </w14:solidFill>
                </w14:textFill>
              </w:rPr>
            </w:pPr>
            <w:r>
              <w:rPr>
                <w:color w:val="000000" w:themeColor="text1"/>
                <w:sz w:val="20"/>
                <w:szCs w:val="20"/>
                <w14:textFill>
                  <w14:solidFill>
                    <w14:schemeClr w14:val="tx1"/>
                  </w14:solidFill>
                </w14:textFill>
              </w:rPr>
              <w:t>跨文化交流</w:t>
            </w:r>
          </w:p>
        </w:tc>
        <w:tc>
          <w:tcPr>
            <w:tcW w:w="567" w:type="dxa"/>
            <w:tcBorders>
              <w:tl2br w:val="nil"/>
              <w:tr2bl w:val="nil"/>
            </w:tcBorders>
            <w:shd w:val="clear" w:color="auto" w:fill="FFFFFF"/>
            <w:tcMar>
              <w:top w:w="15" w:type="dxa"/>
              <w:left w:w="15" w:type="dxa"/>
              <w:right w:w="15" w:type="dxa"/>
            </w:tcMar>
            <w:vAlign w:val="center"/>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r>
              <w:rPr>
                <w:rFonts w:hint="eastAsia"/>
                <w:color w:val="000000"/>
                <w:kern w:val="0"/>
                <w:sz w:val="20"/>
                <w:szCs w:val="20"/>
                <w:lang w:bidi="ar"/>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r>
              <w:rPr>
                <w:rFonts w:hint="eastAsia"/>
                <w:color w:val="000000"/>
                <w:kern w:val="0"/>
                <w:sz w:val="20"/>
                <w:szCs w:val="20"/>
                <w:lang w:bidi="ar"/>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r>
              <w:rPr>
                <w:rFonts w:hint="eastAsia"/>
                <w:color w:val="000000"/>
                <w:sz w:val="20"/>
                <w:szCs w:val="20"/>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r>
              <w:rPr>
                <w:rFonts w:hint="eastAsia"/>
                <w:color w:val="000000"/>
                <w:sz w:val="20"/>
                <w:szCs w:val="20"/>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sz w:val="20"/>
                <w:szCs w:val="20"/>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团队合作训练</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数据科学与大数据技术专业导论</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计算机科学导论</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程序设计基础</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高等数学</w:t>
            </w:r>
            <w:r>
              <w:rPr>
                <w:rStyle w:val="51"/>
                <w:color w:val="000000" w:themeColor="text1"/>
                <w:lang w:bidi="ar"/>
                <w14:textFill>
                  <w14:solidFill>
                    <w14:schemeClr w14:val="tx1"/>
                  </w14:solidFill>
                </w14:textFill>
              </w:rPr>
              <w:t>I</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高等数学</w:t>
            </w:r>
            <w:r>
              <w:rPr>
                <w:rStyle w:val="51"/>
                <w:color w:val="000000" w:themeColor="text1"/>
                <w:lang w:bidi="ar"/>
                <w14:textFill>
                  <w14:solidFill>
                    <w14:schemeClr w14:val="tx1"/>
                  </w14:solidFill>
                </w14:textFill>
              </w:rPr>
              <w:t>II</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线性代数</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离散数学</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算法与数据结构</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概率与统计</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普通物理学</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面向对象编程</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运筹学</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sz w:val="20"/>
                <w:szCs w:val="20"/>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数据库系统入门</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统计学</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大数据技术原理</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计算机网络</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color w:val="000000"/>
                <w:kern w:val="0"/>
                <w:sz w:val="20"/>
                <w:szCs w:val="20"/>
                <w:lang w:bidi="ar"/>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r>
              <w:rPr>
                <w:color w:val="000000"/>
                <w:kern w:val="0"/>
                <w:sz w:val="20"/>
                <w:szCs w:val="20"/>
                <w:lang w:bidi="ar"/>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color w:val="000000"/>
                <w:kern w:val="0"/>
                <w:sz w:val="20"/>
                <w:szCs w:val="20"/>
                <w:lang w:bidi="ar"/>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计算机组成</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color w:val="000000"/>
                <w:kern w:val="0"/>
                <w:sz w:val="20"/>
                <w:szCs w:val="20"/>
                <w:lang w:bidi="ar"/>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r>
              <w:rPr>
                <w:color w:val="000000"/>
                <w:kern w:val="0"/>
                <w:sz w:val="20"/>
                <w:szCs w:val="20"/>
                <w:lang w:bidi="ar"/>
              </w:rPr>
              <w:t>M</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color w:val="000000"/>
                <w:kern w:val="0"/>
                <w:sz w:val="20"/>
                <w:szCs w:val="20"/>
                <w:lang w:bidi="ar"/>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kern w:val="0"/>
                <w:sz w:val="20"/>
                <w:szCs w:val="20"/>
                <w:lang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操作系统</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Python语言程序设计</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数据采集与预处理</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rFonts w:hint="eastAsia"/>
                <w:color w:val="000000"/>
                <w:kern w:val="0"/>
                <w:sz w:val="20"/>
                <w:szCs w:val="20"/>
                <w:lang w:bidi="ar"/>
              </w:rPr>
              <w:t>M</w:t>
            </w: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rFonts w:hint="eastAsia"/>
                <w:color w:val="000000"/>
                <w:kern w:val="0"/>
                <w:sz w:val="20"/>
                <w:szCs w:val="20"/>
                <w:lang w:bidi="ar"/>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color w:val="000000"/>
                <w:kern w:val="0"/>
                <w:sz w:val="20"/>
                <w:szCs w:val="20"/>
                <w:lang w:bidi="ar"/>
              </w:rPr>
              <w:t>L</w:t>
            </w: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r>
              <w:rPr>
                <w:rFonts w:hint="eastAsia"/>
                <w:color w:val="000000"/>
                <w:kern w:val="0"/>
                <w:sz w:val="20"/>
                <w:szCs w:val="20"/>
                <w:lang w:bidi="ar"/>
              </w:rPr>
              <w:t>H</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数据存储与管理</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数据挖掘原理</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大数据开发技术</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数据可视化技术</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项目管理</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bottom"/>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bottom"/>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机器学习</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信息检索与论文写作</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H</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L</w:t>
            </w: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M</w:t>
            </w: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c>
          <w:tcPr>
            <w:tcW w:w="567" w:type="dxa"/>
            <w:tcBorders>
              <w:tl2br w:val="nil"/>
              <w:tr2bl w:val="nil"/>
            </w:tcBorders>
            <w:shd w:val="clear" w:color="auto" w:fill="FFFFFF"/>
            <w:tcMar>
              <w:top w:w="15" w:type="dxa"/>
              <w:left w:w="15" w:type="dxa"/>
              <w:right w:w="15" w:type="dxa"/>
            </w:tcMar>
            <w:vAlign w:val="center"/>
          </w:tcPr>
          <w:p>
            <w:pPr>
              <w:jc w:val="center"/>
              <w:rPr>
                <w:color w:val="000000" w:themeColor="text1"/>
                <w:kern w:val="0"/>
                <w:sz w:val="20"/>
                <w:szCs w:val="20"/>
                <w:lang w:bidi="ar"/>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2520"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themeColor="text1"/>
                <w:kern w:val="0"/>
                <w:sz w:val="20"/>
                <w:szCs w:val="20"/>
                <w:lang w:bidi="ar"/>
                <w14:textFill>
                  <w14:solidFill>
                    <w14:schemeClr w14:val="tx1"/>
                  </w14:solidFill>
                </w14:textFill>
              </w:rPr>
            </w:pPr>
            <w:r>
              <w:rPr>
                <w:color w:val="000000" w:themeColor="text1"/>
                <w:kern w:val="0"/>
                <w:sz w:val="20"/>
                <w:szCs w:val="20"/>
                <w:lang w:bidi="ar"/>
                <w14:textFill>
                  <w14:solidFill>
                    <w14:schemeClr w14:val="tx1"/>
                  </w14:solidFill>
                </w14:textFill>
              </w:rPr>
              <w:t>软件工程</w:t>
            </w: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r>
              <w:rPr>
                <w:rFonts w:hint="eastAsia"/>
                <w:color w:val="000000"/>
                <w:kern w:val="0"/>
                <w:sz w:val="20"/>
                <w:szCs w:val="20"/>
                <w:lang w:bidi="ar"/>
              </w:rPr>
              <w:t>H</w:t>
            </w: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center"/>
              <w:rPr>
                <w:color w:val="000000"/>
                <w:kern w:val="0"/>
                <w:sz w:val="20"/>
                <w:szCs w:val="20"/>
                <w:lang w:bidi="ar"/>
              </w:rPr>
            </w:pPr>
            <w:r>
              <w:rPr>
                <w:color w:val="000000"/>
                <w:kern w:val="0"/>
                <w:sz w:val="20"/>
                <w:szCs w:val="20"/>
                <w:lang w:bidi="ar"/>
              </w:rPr>
              <w:t>H</w:t>
            </w:r>
          </w:p>
        </w:tc>
        <w:tc>
          <w:tcPr>
            <w:tcW w:w="567" w:type="dxa"/>
            <w:tcBorders>
              <w:tl2br w:val="nil"/>
              <w:tr2bl w:val="nil"/>
            </w:tcBorders>
            <w:shd w:val="clear" w:color="auto" w:fill="FFFFFF"/>
            <w:tcMar>
              <w:top w:w="15" w:type="dxa"/>
              <w:left w:w="15" w:type="dxa"/>
              <w:right w:w="15" w:type="dxa"/>
            </w:tcMar>
            <w:vAlign w:val="center"/>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center"/>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widowControl/>
              <w:jc w:val="center"/>
              <w:textAlignment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r>
              <w:rPr>
                <w:color w:val="000000"/>
                <w:kern w:val="0"/>
                <w:sz w:val="20"/>
                <w:szCs w:val="20"/>
                <w:lang w:bidi="ar"/>
              </w:rPr>
              <w:t>M</w:t>
            </w:r>
          </w:p>
        </w:tc>
        <w:tc>
          <w:tcPr>
            <w:tcW w:w="567" w:type="dxa"/>
            <w:tcBorders>
              <w:tl2br w:val="nil"/>
              <w:tr2bl w:val="nil"/>
            </w:tcBorders>
            <w:shd w:val="clear" w:color="auto" w:fill="FFFFFF"/>
            <w:tcMar>
              <w:top w:w="15" w:type="dxa"/>
              <w:left w:w="15" w:type="dxa"/>
              <w:right w:w="15" w:type="dxa"/>
            </w:tcMar>
            <w:vAlign w:val="bottom"/>
          </w:tcPr>
          <w:p>
            <w:pPr>
              <w:jc w:val="center"/>
              <w:rPr>
                <w:color w:val="000000"/>
                <w:kern w:val="0"/>
                <w:sz w:val="20"/>
                <w:szCs w:val="20"/>
                <w:lang w:bidi="ar"/>
              </w:rPr>
            </w:pPr>
          </w:p>
        </w:tc>
      </w:tr>
    </w:tbl>
    <w:p>
      <w:pPr>
        <w:spacing w:before="167" w:beforeLines="50" w:line="400" w:lineRule="exact"/>
        <w:ind w:firstLine="470" w:firstLineChars="196"/>
        <w:rPr>
          <w:rFonts w:eastAsia="黑体"/>
          <w:color w:val="000000" w:themeColor="text1"/>
          <w:sz w:val="24"/>
          <w14:textFill>
            <w14:solidFill>
              <w14:schemeClr w14:val="tx1"/>
            </w14:solidFill>
          </w14:textFill>
        </w:rPr>
      </w:pPr>
    </w:p>
    <w:p>
      <w:pPr>
        <w:widowControl/>
        <w:jc w:val="left"/>
        <w:rPr>
          <w:rFonts w:eastAsia="黑体"/>
          <w:color w:val="000000" w:themeColor="text1"/>
          <w:sz w:val="24"/>
          <w14:textFill>
            <w14:solidFill>
              <w14:schemeClr w14:val="tx1"/>
            </w14:solidFill>
          </w14:textFill>
        </w:rPr>
      </w:pPr>
    </w:p>
    <w:p>
      <w:pPr>
        <w:spacing w:before="167" w:beforeLines="50" w:line="400" w:lineRule="exact"/>
        <w:ind w:firstLine="470" w:firstLineChars="196"/>
        <w:rPr>
          <w:rFonts w:eastAsia="黑体"/>
          <w:color w:val="000000" w:themeColor="text1"/>
          <w:sz w:val="24"/>
          <w:szCs w:val="28"/>
          <w14:textFill>
            <w14:solidFill>
              <w14:schemeClr w14:val="tx1"/>
            </w14:solidFill>
          </w14:textFill>
        </w:rPr>
      </w:pPr>
      <w:r>
        <w:rPr>
          <w:rFonts w:eastAsia="黑体"/>
          <w:color w:val="000000" w:themeColor="text1"/>
          <w:sz w:val="24"/>
          <w14:textFill>
            <w14:solidFill>
              <w14:schemeClr w14:val="tx1"/>
            </w14:solidFill>
          </w14:textFill>
        </w:rPr>
        <w:t>十、</w:t>
      </w:r>
      <w:r>
        <w:rPr>
          <w:rFonts w:eastAsia="黑体"/>
          <w:color w:val="000000" w:themeColor="text1"/>
          <w:sz w:val="24"/>
          <w:szCs w:val="28"/>
          <w14:textFill>
            <w14:solidFill>
              <w14:schemeClr w14:val="tx1"/>
            </w14:solidFill>
          </w14:textFill>
        </w:rPr>
        <w:t>课程开课顺序流程图</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760085" cy="3908425"/>
            <wp:effectExtent l="0" t="0" r="0" b="0"/>
            <wp:docPr id="2" name="图片 2" descr="C:\Users\ADMINI~1\AppData\Local\Temp\WeChat Files\8ab4a1666d385698c4fd518525d67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8ab4a1666d385698c4fd518525d67b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60085" cy="3908565"/>
                    </a:xfrm>
                    <a:prstGeom prst="rect">
                      <a:avLst/>
                    </a:prstGeom>
                    <a:noFill/>
                    <a:ln>
                      <a:noFill/>
                    </a:ln>
                  </pic:spPr>
                </pic:pic>
              </a:graphicData>
            </a:graphic>
          </wp:inline>
        </w:drawing>
      </w:r>
    </w:p>
    <w:p>
      <w:pPr>
        <w:spacing w:line="400" w:lineRule="exact"/>
        <w:jc w:val="left"/>
        <w:rPr>
          <w:rFonts w:eastAsia="黑体"/>
          <w:color w:val="000000" w:themeColor="text1"/>
          <w:sz w:val="24"/>
          <w14:textFill>
            <w14:solidFill>
              <w14:schemeClr w14:val="tx1"/>
            </w14:solidFill>
          </w14:textFill>
        </w:rPr>
      </w:pPr>
    </w:p>
    <w:sectPr>
      <w:footerReference r:id="rId3" w:type="default"/>
      <w:pgSz w:w="11905" w:h="16838"/>
      <w:pgMar w:top="1417" w:right="1417" w:bottom="1417" w:left="1417" w:header="850" w:footer="992" w:gutter="0"/>
      <w:pgBorders>
        <w:top w:val="none" w:sz="0" w:space="0"/>
        <w:left w:val="none" w:sz="0" w:space="0"/>
        <w:bottom w:val="none" w:sz="0" w:space="0"/>
        <w:right w:val="none" w:sz="0" w:space="0"/>
      </w:pgBorders>
      <w:cols w:space="0" w:num="1"/>
      <w:docGrid w:type="lines" w:linePitch="3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10"/>
  <w:drawingGridVerticalSpacing w:val="16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3ZTY2NjFlY2FmMTIwNGFkZWMzNDcwNzA4NjQ2YTQifQ=="/>
  </w:docVars>
  <w:rsids>
    <w:rsidRoot w:val="00D76B4B"/>
    <w:rsid w:val="00000F8F"/>
    <w:rsid w:val="00001027"/>
    <w:rsid w:val="000016BD"/>
    <w:rsid w:val="00001D08"/>
    <w:rsid w:val="0000542E"/>
    <w:rsid w:val="000065CE"/>
    <w:rsid w:val="00006E9A"/>
    <w:rsid w:val="0000775D"/>
    <w:rsid w:val="000115DC"/>
    <w:rsid w:val="00014259"/>
    <w:rsid w:val="0001522C"/>
    <w:rsid w:val="00016D88"/>
    <w:rsid w:val="00017860"/>
    <w:rsid w:val="00020729"/>
    <w:rsid w:val="00024F13"/>
    <w:rsid w:val="00027A0D"/>
    <w:rsid w:val="00027A37"/>
    <w:rsid w:val="00030B7C"/>
    <w:rsid w:val="0003206E"/>
    <w:rsid w:val="00032A31"/>
    <w:rsid w:val="00033117"/>
    <w:rsid w:val="00035EAE"/>
    <w:rsid w:val="000366FB"/>
    <w:rsid w:val="00041A87"/>
    <w:rsid w:val="000445B4"/>
    <w:rsid w:val="00050E67"/>
    <w:rsid w:val="000510AA"/>
    <w:rsid w:val="0005752B"/>
    <w:rsid w:val="0006000B"/>
    <w:rsid w:val="000618FE"/>
    <w:rsid w:val="00063C6C"/>
    <w:rsid w:val="00064F82"/>
    <w:rsid w:val="0006571F"/>
    <w:rsid w:val="000658EF"/>
    <w:rsid w:val="00066D87"/>
    <w:rsid w:val="0006786E"/>
    <w:rsid w:val="00067D25"/>
    <w:rsid w:val="000702C2"/>
    <w:rsid w:val="000708F3"/>
    <w:rsid w:val="000734CF"/>
    <w:rsid w:val="0007661B"/>
    <w:rsid w:val="00084CF9"/>
    <w:rsid w:val="00084D83"/>
    <w:rsid w:val="00085BA4"/>
    <w:rsid w:val="00085F28"/>
    <w:rsid w:val="0008637B"/>
    <w:rsid w:val="00086FE4"/>
    <w:rsid w:val="00093089"/>
    <w:rsid w:val="00093A52"/>
    <w:rsid w:val="00093A57"/>
    <w:rsid w:val="00094411"/>
    <w:rsid w:val="00095A94"/>
    <w:rsid w:val="000B315D"/>
    <w:rsid w:val="000B63F7"/>
    <w:rsid w:val="000B70E0"/>
    <w:rsid w:val="000C1F5A"/>
    <w:rsid w:val="000C26A0"/>
    <w:rsid w:val="000D1782"/>
    <w:rsid w:val="000D1AE5"/>
    <w:rsid w:val="000D42F2"/>
    <w:rsid w:val="000E356D"/>
    <w:rsid w:val="000E39B8"/>
    <w:rsid w:val="000F4DE9"/>
    <w:rsid w:val="000F697E"/>
    <w:rsid w:val="001029DA"/>
    <w:rsid w:val="00103660"/>
    <w:rsid w:val="0010459A"/>
    <w:rsid w:val="00104B6A"/>
    <w:rsid w:val="00104EBB"/>
    <w:rsid w:val="00105A02"/>
    <w:rsid w:val="00110D0A"/>
    <w:rsid w:val="00113887"/>
    <w:rsid w:val="00117D3D"/>
    <w:rsid w:val="00125F9F"/>
    <w:rsid w:val="001303F0"/>
    <w:rsid w:val="00130DF2"/>
    <w:rsid w:val="00132336"/>
    <w:rsid w:val="00133612"/>
    <w:rsid w:val="00146D3C"/>
    <w:rsid w:val="00150D15"/>
    <w:rsid w:val="001527F9"/>
    <w:rsid w:val="00153EE6"/>
    <w:rsid w:val="001547CD"/>
    <w:rsid w:val="001566FE"/>
    <w:rsid w:val="00157BBD"/>
    <w:rsid w:val="00160DB9"/>
    <w:rsid w:val="00161068"/>
    <w:rsid w:val="00163BC2"/>
    <w:rsid w:val="00165B75"/>
    <w:rsid w:val="00170AC5"/>
    <w:rsid w:val="00170CE2"/>
    <w:rsid w:val="00183506"/>
    <w:rsid w:val="00191708"/>
    <w:rsid w:val="001946B1"/>
    <w:rsid w:val="001A2052"/>
    <w:rsid w:val="001A2B29"/>
    <w:rsid w:val="001A2BB2"/>
    <w:rsid w:val="001A6DE0"/>
    <w:rsid w:val="001A7991"/>
    <w:rsid w:val="001B0F3C"/>
    <w:rsid w:val="001B2A63"/>
    <w:rsid w:val="001C086D"/>
    <w:rsid w:val="001C0F45"/>
    <w:rsid w:val="001C2673"/>
    <w:rsid w:val="001D00EC"/>
    <w:rsid w:val="001D1277"/>
    <w:rsid w:val="001D3361"/>
    <w:rsid w:val="001E0802"/>
    <w:rsid w:val="001E23E9"/>
    <w:rsid w:val="001E6933"/>
    <w:rsid w:val="001E6D58"/>
    <w:rsid w:val="001F0093"/>
    <w:rsid w:val="001F19A6"/>
    <w:rsid w:val="001F7958"/>
    <w:rsid w:val="00207F58"/>
    <w:rsid w:val="00211CD8"/>
    <w:rsid w:val="00215ADC"/>
    <w:rsid w:val="00216CCC"/>
    <w:rsid w:val="00220239"/>
    <w:rsid w:val="00220A54"/>
    <w:rsid w:val="002273D6"/>
    <w:rsid w:val="002322C2"/>
    <w:rsid w:val="00233090"/>
    <w:rsid w:val="00234451"/>
    <w:rsid w:val="00235D38"/>
    <w:rsid w:val="00237005"/>
    <w:rsid w:val="00237294"/>
    <w:rsid w:val="002445B8"/>
    <w:rsid w:val="00246684"/>
    <w:rsid w:val="00256CE6"/>
    <w:rsid w:val="00257979"/>
    <w:rsid w:val="00257ED8"/>
    <w:rsid w:val="00260507"/>
    <w:rsid w:val="00260C74"/>
    <w:rsid w:val="00262D3B"/>
    <w:rsid w:val="002655B2"/>
    <w:rsid w:val="002661BD"/>
    <w:rsid w:val="00270313"/>
    <w:rsid w:val="002751F9"/>
    <w:rsid w:val="00276907"/>
    <w:rsid w:val="00281407"/>
    <w:rsid w:val="00281E95"/>
    <w:rsid w:val="002821F7"/>
    <w:rsid w:val="00282600"/>
    <w:rsid w:val="00282BAA"/>
    <w:rsid w:val="00284F2D"/>
    <w:rsid w:val="0028567C"/>
    <w:rsid w:val="00287B45"/>
    <w:rsid w:val="0029290F"/>
    <w:rsid w:val="00293288"/>
    <w:rsid w:val="002968BD"/>
    <w:rsid w:val="002A049E"/>
    <w:rsid w:val="002A0D65"/>
    <w:rsid w:val="002A0F09"/>
    <w:rsid w:val="002A42E4"/>
    <w:rsid w:val="002A676A"/>
    <w:rsid w:val="002B03E7"/>
    <w:rsid w:val="002B0777"/>
    <w:rsid w:val="002B0DBD"/>
    <w:rsid w:val="002B32BC"/>
    <w:rsid w:val="002B5226"/>
    <w:rsid w:val="002B7500"/>
    <w:rsid w:val="002C058F"/>
    <w:rsid w:val="002C06A5"/>
    <w:rsid w:val="002C4A2E"/>
    <w:rsid w:val="002C6DBF"/>
    <w:rsid w:val="002D0644"/>
    <w:rsid w:val="002D7AB3"/>
    <w:rsid w:val="002E005D"/>
    <w:rsid w:val="002E2451"/>
    <w:rsid w:val="002E3E62"/>
    <w:rsid w:val="002E615A"/>
    <w:rsid w:val="002F03F1"/>
    <w:rsid w:val="002F0CFB"/>
    <w:rsid w:val="002F53CB"/>
    <w:rsid w:val="00304663"/>
    <w:rsid w:val="00305BB4"/>
    <w:rsid w:val="00310BF3"/>
    <w:rsid w:val="0031395F"/>
    <w:rsid w:val="003229A6"/>
    <w:rsid w:val="00330E12"/>
    <w:rsid w:val="00331E20"/>
    <w:rsid w:val="003329F3"/>
    <w:rsid w:val="00342602"/>
    <w:rsid w:val="00343716"/>
    <w:rsid w:val="00345A82"/>
    <w:rsid w:val="003467B0"/>
    <w:rsid w:val="003471A4"/>
    <w:rsid w:val="00347C78"/>
    <w:rsid w:val="00355839"/>
    <w:rsid w:val="00356408"/>
    <w:rsid w:val="00357ED9"/>
    <w:rsid w:val="00364445"/>
    <w:rsid w:val="0036473D"/>
    <w:rsid w:val="003653A9"/>
    <w:rsid w:val="003720BB"/>
    <w:rsid w:val="00387C59"/>
    <w:rsid w:val="0039138C"/>
    <w:rsid w:val="003A25D8"/>
    <w:rsid w:val="003A5377"/>
    <w:rsid w:val="003A6964"/>
    <w:rsid w:val="003A7699"/>
    <w:rsid w:val="003B0F87"/>
    <w:rsid w:val="003C1327"/>
    <w:rsid w:val="003C5868"/>
    <w:rsid w:val="003C65D9"/>
    <w:rsid w:val="003C7D39"/>
    <w:rsid w:val="003D4647"/>
    <w:rsid w:val="003D6306"/>
    <w:rsid w:val="003E256E"/>
    <w:rsid w:val="003E25F0"/>
    <w:rsid w:val="003E3FE6"/>
    <w:rsid w:val="003E57E6"/>
    <w:rsid w:val="003E5C96"/>
    <w:rsid w:val="003E68F5"/>
    <w:rsid w:val="003E7F9C"/>
    <w:rsid w:val="003F13B2"/>
    <w:rsid w:val="003F2290"/>
    <w:rsid w:val="003F7210"/>
    <w:rsid w:val="00404E3A"/>
    <w:rsid w:val="00413969"/>
    <w:rsid w:val="004221C1"/>
    <w:rsid w:val="004227CC"/>
    <w:rsid w:val="00424822"/>
    <w:rsid w:val="00424D78"/>
    <w:rsid w:val="00431D21"/>
    <w:rsid w:val="0043425E"/>
    <w:rsid w:val="00434326"/>
    <w:rsid w:val="0043548E"/>
    <w:rsid w:val="004377B8"/>
    <w:rsid w:val="00440B57"/>
    <w:rsid w:val="00442D6B"/>
    <w:rsid w:val="00443F8A"/>
    <w:rsid w:val="00445EA7"/>
    <w:rsid w:val="004547C2"/>
    <w:rsid w:val="004551AD"/>
    <w:rsid w:val="0046485A"/>
    <w:rsid w:val="00467108"/>
    <w:rsid w:val="0046768B"/>
    <w:rsid w:val="00472CA9"/>
    <w:rsid w:val="00472DBA"/>
    <w:rsid w:val="0047443C"/>
    <w:rsid w:val="00475AE3"/>
    <w:rsid w:val="004813E2"/>
    <w:rsid w:val="0048227B"/>
    <w:rsid w:val="004855E8"/>
    <w:rsid w:val="00485813"/>
    <w:rsid w:val="00486A3F"/>
    <w:rsid w:val="00487752"/>
    <w:rsid w:val="00490B2C"/>
    <w:rsid w:val="004915CA"/>
    <w:rsid w:val="00492D3F"/>
    <w:rsid w:val="00494902"/>
    <w:rsid w:val="00496995"/>
    <w:rsid w:val="004A1768"/>
    <w:rsid w:val="004A2BAF"/>
    <w:rsid w:val="004A68F8"/>
    <w:rsid w:val="004B2CDD"/>
    <w:rsid w:val="004B58CB"/>
    <w:rsid w:val="004C2C2C"/>
    <w:rsid w:val="004C4EBC"/>
    <w:rsid w:val="004C61EF"/>
    <w:rsid w:val="004D13EB"/>
    <w:rsid w:val="004D3D33"/>
    <w:rsid w:val="004D55C5"/>
    <w:rsid w:val="004E5344"/>
    <w:rsid w:val="004E60C4"/>
    <w:rsid w:val="004E61FE"/>
    <w:rsid w:val="004E649D"/>
    <w:rsid w:val="004F313C"/>
    <w:rsid w:val="004F790E"/>
    <w:rsid w:val="00501BDD"/>
    <w:rsid w:val="005028F9"/>
    <w:rsid w:val="00505AA2"/>
    <w:rsid w:val="00507236"/>
    <w:rsid w:val="005072C2"/>
    <w:rsid w:val="00507668"/>
    <w:rsid w:val="00510455"/>
    <w:rsid w:val="005124B9"/>
    <w:rsid w:val="0051469A"/>
    <w:rsid w:val="0052168E"/>
    <w:rsid w:val="0052449C"/>
    <w:rsid w:val="0052734C"/>
    <w:rsid w:val="005275A1"/>
    <w:rsid w:val="00530080"/>
    <w:rsid w:val="005325E7"/>
    <w:rsid w:val="00533DE2"/>
    <w:rsid w:val="005530F2"/>
    <w:rsid w:val="0055330C"/>
    <w:rsid w:val="00554F4C"/>
    <w:rsid w:val="00555AE5"/>
    <w:rsid w:val="00566ABD"/>
    <w:rsid w:val="00566B83"/>
    <w:rsid w:val="005672E1"/>
    <w:rsid w:val="00570694"/>
    <w:rsid w:val="00572BCC"/>
    <w:rsid w:val="005745E2"/>
    <w:rsid w:val="005833EC"/>
    <w:rsid w:val="0058514D"/>
    <w:rsid w:val="00590C53"/>
    <w:rsid w:val="00591F83"/>
    <w:rsid w:val="00593B9C"/>
    <w:rsid w:val="005949C3"/>
    <w:rsid w:val="00597E25"/>
    <w:rsid w:val="00597E30"/>
    <w:rsid w:val="005A39B6"/>
    <w:rsid w:val="005A71BB"/>
    <w:rsid w:val="005B55D9"/>
    <w:rsid w:val="005B6AB2"/>
    <w:rsid w:val="005C0353"/>
    <w:rsid w:val="005C28BD"/>
    <w:rsid w:val="005C3166"/>
    <w:rsid w:val="005D60DB"/>
    <w:rsid w:val="005D6D2D"/>
    <w:rsid w:val="005E064E"/>
    <w:rsid w:val="005E2DB9"/>
    <w:rsid w:val="005E5CED"/>
    <w:rsid w:val="005E64F0"/>
    <w:rsid w:val="005F6C43"/>
    <w:rsid w:val="00603C13"/>
    <w:rsid w:val="00616798"/>
    <w:rsid w:val="00616F9A"/>
    <w:rsid w:val="00617A45"/>
    <w:rsid w:val="00622CF1"/>
    <w:rsid w:val="00625DAA"/>
    <w:rsid w:val="00626626"/>
    <w:rsid w:val="00631421"/>
    <w:rsid w:val="00633E0F"/>
    <w:rsid w:val="00635553"/>
    <w:rsid w:val="006355C5"/>
    <w:rsid w:val="00635FFE"/>
    <w:rsid w:val="006434AE"/>
    <w:rsid w:val="0064762B"/>
    <w:rsid w:val="00647780"/>
    <w:rsid w:val="0065209E"/>
    <w:rsid w:val="00654EC4"/>
    <w:rsid w:val="00655808"/>
    <w:rsid w:val="00657E1F"/>
    <w:rsid w:val="00661F15"/>
    <w:rsid w:val="006701DC"/>
    <w:rsid w:val="00673E9E"/>
    <w:rsid w:val="006763CF"/>
    <w:rsid w:val="00680289"/>
    <w:rsid w:val="00681724"/>
    <w:rsid w:val="006842AE"/>
    <w:rsid w:val="00687E39"/>
    <w:rsid w:val="006902C4"/>
    <w:rsid w:val="00691AD5"/>
    <w:rsid w:val="00692617"/>
    <w:rsid w:val="00695D31"/>
    <w:rsid w:val="006A0E0F"/>
    <w:rsid w:val="006A1AF5"/>
    <w:rsid w:val="006A1B20"/>
    <w:rsid w:val="006B038D"/>
    <w:rsid w:val="006B23A9"/>
    <w:rsid w:val="006B5127"/>
    <w:rsid w:val="006B626E"/>
    <w:rsid w:val="006C35D5"/>
    <w:rsid w:val="006C5BCA"/>
    <w:rsid w:val="006C71FD"/>
    <w:rsid w:val="006D0441"/>
    <w:rsid w:val="006D32DA"/>
    <w:rsid w:val="006D5CBE"/>
    <w:rsid w:val="006D7D17"/>
    <w:rsid w:val="006E01D4"/>
    <w:rsid w:val="006E02AD"/>
    <w:rsid w:val="006E52DE"/>
    <w:rsid w:val="006E683E"/>
    <w:rsid w:val="006F3278"/>
    <w:rsid w:val="006F582C"/>
    <w:rsid w:val="006F598B"/>
    <w:rsid w:val="006F67BB"/>
    <w:rsid w:val="006F75B1"/>
    <w:rsid w:val="006F7C53"/>
    <w:rsid w:val="00703319"/>
    <w:rsid w:val="00704642"/>
    <w:rsid w:val="00704C70"/>
    <w:rsid w:val="007054CB"/>
    <w:rsid w:val="00706BD5"/>
    <w:rsid w:val="00706EB7"/>
    <w:rsid w:val="00714328"/>
    <w:rsid w:val="0072340B"/>
    <w:rsid w:val="00726010"/>
    <w:rsid w:val="00727BE7"/>
    <w:rsid w:val="007320ED"/>
    <w:rsid w:val="007334B2"/>
    <w:rsid w:val="007345AD"/>
    <w:rsid w:val="0073560F"/>
    <w:rsid w:val="0074323F"/>
    <w:rsid w:val="0074378C"/>
    <w:rsid w:val="007468A5"/>
    <w:rsid w:val="00747A74"/>
    <w:rsid w:val="00750703"/>
    <w:rsid w:val="0075214D"/>
    <w:rsid w:val="007535A5"/>
    <w:rsid w:val="007567B5"/>
    <w:rsid w:val="007673C5"/>
    <w:rsid w:val="00770213"/>
    <w:rsid w:val="007702F9"/>
    <w:rsid w:val="0077087F"/>
    <w:rsid w:val="007711CE"/>
    <w:rsid w:val="00773344"/>
    <w:rsid w:val="007735B5"/>
    <w:rsid w:val="007776EA"/>
    <w:rsid w:val="00781CBD"/>
    <w:rsid w:val="00782772"/>
    <w:rsid w:val="00782A96"/>
    <w:rsid w:val="00786BF9"/>
    <w:rsid w:val="0079133B"/>
    <w:rsid w:val="00792C99"/>
    <w:rsid w:val="00793A7F"/>
    <w:rsid w:val="00794DBD"/>
    <w:rsid w:val="00796BE1"/>
    <w:rsid w:val="00796D19"/>
    <w:rsid w:val="0079764C"/>
    <w:rsid w:val="007A1C15"/>
    <w:rsid w:val="007A2144"/>
    <w:rsid w:val="007A50C6"/>
    <w:rsid w:val="007A5CDA"/>
    <w:rsid w:val="007A6300"/>
    <w:rsid w:val="007B0E42"/>
    <w:rsid w:val="007B21E2"/>
    <w:rsid w:val="007B37D4"/>
    <w:rsid w:val="007B5221"/>
    <w:rsid w:val="007B67B7"/>
    <w:rsid w:val="007C3DBD"/>
    <w:rsid w:val="007D0378"/>
    <w:rsid w:val="007D2A7D"/>
    <w:rsid w:val="007D7D83"/>
    <w:rsid w:val="007D7FE6"/>
    <w:rsid w:val="007E1F35"/>
    <w:rsid w:val="007E3FDE"/>
    <w:rsid w:val="007F13BD"/>
    <w:rsid w:val="007F5611"/>
    <w:rsid w:val="0080265C"/>
    <w:rsid w:val="00804203"/>
    <w:rsid w:val="00804383"/>
    <w:rsid w:val="008057DE"/>
    <w:rsid w:val="00805924"/>
    <w:rsid w:val="00805B22"/>
    <w:rsid w:val="008066A1"/>
    <w:rsid w:val="008069D4"/>
    <w:rsid w:val="008136DC"/>
    <w:rsid w:val="008148F0"/>
    <w:rsid w:val="00815B2D"/>
    <w:rsid w:val="008248DD"/>
    <w:rsid w:val="008328DA"/>
    <w:rsid w:val="00834441"/>
    <w:rsid w:val="00840CD6"/>
    <w:rsid w:val="008436FE"/>
    <w:rsid w:val="00844E68"/>
    <w:rsid w:val="00847A74"/>
    <w:rsid w:val="00847D2D"/>
    <w:rsid w:val="00857335"/>
    <w:rsid w:val="0086198B"/>
    <w:rsid w:val="00867B5C"/>
    <w:rsid w:val="0087142C"/>
    <w:rsid w:val="00874256"/>
    <w:rsid w:val="00874EE0"/>
    <w:rsid w:val="00881F3F"/>
    <w:rsid w:val="0088288E"/>
    <w:rsid w:val="0088343F"/>
    <w:rsid w:val="00884385"/>
    <w:rsid w:val="008874FE"/>
    <w:rsid w:val="00891EF9"/>
    <w:rsid w:val="00896B0D"/>
    <w:rsid w:val="008A3FC0"/>
    <w:rsid w:val="008A4C77"/>
    <w:rsid w:val="008A7A11"/>
    <w:rsid w:val="008B2120"/>
    <w:rsid w:val="008B4C19"/>
    <w:rsid w:val="008B6628"/>
    <w:rsid w:val="008C11FD"/>
    <w:rsid w:val="008C4D21"/>
    <w:rsid w:val="008C7520"/>
    <w:rsid w:val="008D07C8"/>
    <w:rsid w:val="008D6B04"/>
    <w:rsid w:val="008D7163"/>
    <w:rsid w:val="008E27BE"/>
    <w:rsid w:val="008F234D"/>
    <w:rsid w:val="008F3E4B"/>
    <w:rsid w:val="00900B1B"/>
    <w:rsid w:val="00904E9A"/>
    <w:rsid w:val="00906ADA"/>
    <w:rsid w:val="009112F0"/>
    <w:rsid w:val="00912AAD"/>
    <w:rsid w:val="009130CB"/>
    <w:rsid w:val="00914642"/>
    <w:rsid w:val="00923849"/>
    <w:rsid w:val="00926047"/>
    <w:rsid w:val="00927CA0"/>
    <w:rsid w:val="00930A8B"/>
    <w:rsid w:val="00941184"/>
    <w:rsid w:val="00941480"/>
    <w:rsid w:val="00941F17"/>
    <w:rsid w:val="00942E7E"/>
    <w:rsid w:val="00945A58"/>
    <w:rsid w:val="00945DC0"/>
    <w:rsid w:val="00951163"/>
    <w:rsid w:val="009610D2"/>
    <w:rsid w:val="00961D6F"/>
    <w:rsid w:val="00963370"/>
    <w:rsid w:val="009714B5"/>
    <w:rsid w:val="00974877"/>
    <w:rsid w:val="00976820"/>
    <w:rsid w:val="00977AB6"/>
    <w:rsid w:val="00984D74"/>
    <w:rsid w:val="0098550E"/>
    <w:rsid w:val="00986906"/>
    <w:rsid w:val="00986C0C"/>
    <w:rsid w:val="009906E8"/>
    <w:rsid w:val="00994838"/>
    <w:rsid w:val="009A3399"/>
    <w:rsid w:val="009A42A6"/>
    <w:rsid w:val="009B2BE0"/>
    <w:rsid w:val="009B3346"/>
    <w:rsid w:val="009B5D18"/>
    <w:rsid w:val="009C173E"/>
    <w:rsid w:val="009C3384"/>
    <w:rsid w:val="009D2048"/>
    <w:rsid w:val="009D6C23"/>
    <w:rsid w:val="009E72C3"/>
    <w:rsid w:val="009E7852"/>
    <w:rsid w:val="00A02F21"/>
    <w:rsid w:val="00A04993"/>
    <w:rsid w:val="00A176B4"/>
    <w:rsid w:val="00A21C66"/>
    <w:rsid w:val="00A22018"/>
    <w:rsid w:val="00A238A6"/>
    <w:rsid w:val="00A269FA"/>
    <w:rsid w:val="00A41345"/>
    <w:rsid w:val="00A4321D"/>
    <w:rsid w:val="00A43587"/>
    <w:rsid w:val="00A47833"/>
    <w:rsid w:val="00A559B4"/>
    <w:rsid w:val="00A62127"/>
    <w:rsid w:val="00A62EC2"/>
    <w:rsid w:val="00A659CF"/>
    <w:rsid w:val="00A65CB6"/>
    <w:rsid w:val="00A71B9A"/>
    <w:rsid w:val="00A7785F"/>
    <w:rsid w:val="00A8217B"/>
    <w:rsid w:val="00A82E06"/>
    <w:rsid w:val="00A8758C"/>
    <w:rsid w:val="00A87FDF"/>
    <w:rsid w:val="00A917C0"/>
    <w:rsid w:val="00A92319"/>
    <w:rsid w:val="00A92B75"/>
    <w:rsid w:val="00A93CA6"/>
    <w:rsid w:val="00A97CA5"/>
    <w:rsid w:val="00AA6760"/>
    <w:rsid w:val="00AB473B"/>
    <w:rsid w:val="00AD3161"/>
    <w:rsid w:val="00AE16FB"/>
    <w:rsid w:val="00AE1700"/>
    <w:rsid w:val="00AF04FE"/>
    <w:rsid w:val="00AF48FE"/>
    <w:rsid w:val="00B100E4"/>
    <w:rsid w:val="00B1275B"/>
    <w:rsid w:val="00B133BE"/>
    <w:rsid w:val="00B15CC8"/>
    <w:rsid w:val="00B16336"/>
    <w:rsid w:val="00B2178B"/>
    <w:rsid w:val="00B22413"/>
    <w:rsid w:val="00B23A35"/>
    <w:rsid w:val="00B24D05"/>
    <w:rsid w:val="00B24D2D"/>
    <w:rsid w:val="00B30565"/>
    <w:rsid w:val="00B31740"/>
    <w:rsid w:val="00B35EE8"/>
    <w:rsid w:val="00B40C91"/>
    <w:rsid w:val="00B418E3"/>
    <w:rsid w:val="00B41E3E"/>
    <w:rsid w:val="00B42A17"/>
    <w:rsid w:val="00B42E94"/>
    <w:rsid w:val="00B433EA"/>
    <w:rsid w:val="00B43C9B"/>
    <w:rsid w:val="00B614E6"/>
    <w:rsid w:val="00B63411"/>
    <w:rsid w:val="00B6699D"/>
    <w:rsid w:val="00B715B8"/>
    <w:rsid w:val="00B726BD"/>
    <w:rsid w:val="00B75293"/>
    <w:rsid w:val="00B75BCF"/>
    <w:rsid w:val="00B75D07"/>
    <w:rsid w:val="00B768E7"/>
    <w:rsid w:val="00B80302"/>
    <w:rsid w:val="00B80494"/>
    <w:rsid w:val="00B83888"/>
    <w:rsid w:val="00B86791"/>
    <w:rsid w:val="00B91BCF"/>
    <w:rsid w:val="00B928CA"/>
    <w:rsid w:val="00B972DD"/>
    <w:rsid w:val="00B97C41"/>
    <w:rsid w:val="00BA209F"/>
    <w:rsid w:val="00BA304C"/>
    <w:rsid w:val="00BB1A94"/>
    <w:rsid w:val="00BC2053"/>
    <w:rsid w:val="00BC4901"/>
    <w:rsid w:val="00BC521B"/>
    <w:rsid w:val="00BD097F"/>
    <w:rsid w:val="00BE5613"/>
    <w:rsid w:val="00BE5A92"/>
    <w:rsid w:val="00BE5F05"/>
    <w:rsid w:val="00BF2031"/>
    <w:rsid w:val="00BF4CE0"/>
    <w:rsid w:val="00C121DE"/>
    <w:rsid w:val="00C13F9B"/>
    <w:rsid w:val="00C16F33"/>
    <w:rsid w:val="00C217B0"/>
    <w:rsid w:val="00C23E29"/>
    <w:rsid w:val="00C24168"/>
    <w:rsid w:val="00C246A6"/>
    <w:rsid w:val="00C26C3A"/>
    <w:rsid w:val="00C2726E"/>
    <w:rsid w:val="00C27866"/>
    <w:rsid w:val="00C412E2"/>
    <w:rsid w:val="00C4134D"/>
    <w:rsid w:val="00C421C4"/>
    <w:rsid w:val="00C445B3"/>
    <w:rsid w:val="00C45DCD"/>
    <w:rsid w:val="00C51B40"/>
    <w:rsid w:val="00C528C2"/>
    <w:rsid w:val="00C53C4A"/>
    <w:rsid w:val="00C5458A"/>
    <w:rsid w:val="00C560C4"/>
    <w:rsid w:val="00C575D4"/>
    <w:rsid w:val="00C619FF"/>
    <w:rsid w:val="00C62579"/>
    <w:rsid w:val="00C6507F"/>
    <w:rsid w:val="00C70DDB"/>
    <w:rsid w:val="00C71E8D"/>
    <w:rsid w:val="00C779BC"/>
    <w:rsid w:val="00C82A66"/>
    <w:rsid w:val="00C83D4E"/>
    <w:rsid w:val="00C91CE9"/>
    <w:rsid w:val="00CA2412"/>
    <w:rsid w:val="00CA2DE0"/>
    <w:rsid w:val="00CA2E7B"/>
    <w:rsid w:val="00CB085E"/>
    <w:rsid w:val="00CB2FAA"/>
    <w:rsid w:val="00CB34C2"/>
    <w:rsid w:val="00CB6297"/>
    <w:rsid w:val="00CC6EBF"/>
    <w:rsid w:val="00CD1C60"/>
    <w:rsid w:val="00CD2B97"/>
    <w:rsid w:val="00CD48A1"/>
    <w:rsid w:val="00CD550E"/>
    <w:rsid w:val="00CD6FBA"/>
    <w:rsid w:val="00CE1870"/>
    <w:rsid w:val="00CE3F43"/>
    <w:rsid w:val="00CE76EB"/>
    <w:rsid w:val="00CE76F4"/>
    <w:rsid w:val="00CF1ACF"/>
    <w:rsid w:val="00D10983"/>
    <w:rsid w:val="00D12790"/>
    <w:rsid w:val="00D20184"/>
    <w:rsid w:val="00D23FF9"/>
    <w:rsid w:val="00D24B4B"/>
    <w:rsid w:val="00D2574E"/>
    <w:rsid w:val="00D30734"/>
    <w:rsid w:val="00D30DB5"/>
    <w:rsid w:val="00D31145"/>
    <w:rsid w:val="00D41BE4"/>
    <w:rsid w:val="00D5035B"/>
    <w:rsid w:val="00D50B0D"/>
    <w:rsid w:val="00D5752B"/>
    <w:rsid w:val="00D57D72"/>
    <w:rsid w:val="00D62C04"/>
    <w:rsid w:val="00D6506E"/>
    <w:rsid w:val="00D73035"/>
    <w:rsid w:val="00D74D00"/>
    <w:rsid w:val="00D76B4B"/>
    <w:rsid w:val="00D76ED3"/>
    <w:rsid w:val="00D77275"/>
    <w:rsid w:val="00D81415"/>
    <w:rsid w:val="00D83B8C"/>
    <w:rsid w:val="00D85584"/>
    <w:rsid w:val="00D85CE0"/>
    <w:rsid w:val="00D92EF4"/>
    <w:rsid w:val="00D970B7"/>
    <w:rsid w:val="00DA236C"/>
    <w:rsid w:val="00DA2C36"/>
    <w:rsid w:val="00DA47A1"/>
    <w:rsid w:val="00DA6F75"/>
    <w:rsid w:val="00DA7230"/>
    <w:rsid w:val="00DB2DDC"/>
    <w:rsid w:val="00DB5DA0"/>
    <w:rsid w:val="00DB7E69"/>
    <w:rsid w:val="00DC17F2"/>
    <w:rsid w:val="00DC7653"/>
    <w:rsid w:val="00DD48C1"/>
    <w:rsid w:val="00DE0331"/>
    <w:rsid w:val="00DE1ADF"/>
    <w:rsid w:val="00DE3C4F"/>
    <w:rsid w:val="00DE604B"/>
    <w:rsid w:val="00DF2655"/>
    <w:rsid w:val="00DF2A90"/>
    <w:rsid w:val="00DF2E2D"/>
    <w:rsid w:val="00DF3195"/>
    <w:rsid w:val="00DF4757"/>
    <w:rsid w:val="00DF4981"/>
    <w:rsid w:val="00DF6641"/>
    <w:rsid w:val="00E207EA"/>
    <w:rsid w:val="00E20F78"/>
    <w:rsid w:val="00E23FE9"/>
    <w:rsid w:val="00E2467D"/>
    <w:rsid w:val="00E26016"/>
    <w:rsid w:val="00E31130"/>
    <w:rsid w:val="00E312DB"/>
    <w:rsid w:val="00E377C7"/>
    <w:rsid w:val="00E4057A"/>
    <w:rsid w:val="00E415D0"/>
    <w:rsid w:val="00E431BC"/>
    <w:rsid w:val="00E463BD"/>
    <w:rsid w:val="00E474B9"/>
    <w:rsid w:val="00E50659"/>
    <w:rsid w:val="00E52DC0"/>
    <w:rsid w:val="00E60683"/>
    <w:rsid w:val="00E67D56"/>
    <w:rsid w:val="00E701AB"/>
    <w:rsid w:val="00E7029A"/>
    <w:rsid w:val="00E80474"/>
    <w:rsid w:val="00E83B99"/>
    <w:rsid w:val="00E852AC"/>
    <w:rsid w:val="00E94B35"/>
    <w:rsid w:val="00E94E43"/>
    <w:rsid w:val="00E97BA8"/>
    <w:rsid w:val="00EA7918"/>
    <w:rsid w:val="00EB1250"/>
    <w:rsid w:val="00EB4028"/>
    <w:rsid w:val="00EB6F73"/>
    <w:rsid w:val="00EC196D"/>
    <w:rsid w:val="00EC3578"/>
    <w:rsid w:val="00EC6215"/>
    <w:rsid w:val="00EC64F3"/>
    <w:rsid w:val="00EC7AD4"/>
    <w:rsid w:val="00ED27A6"/>
    <w:rsid w:val="00ED7AF2"/>
    <w:rsid w:val="00EE238E"/>
    <w:rsid w:val="00EE393E"/>
    <w:rsid w:val="00EE4CEE"/>
    <w:rsid w:val="00EE7E32"/>
    <w:rsid w:val="00F03D84"/>
    <w:rsid w:val="00F10168"/>
    <w:rsid w:val="00F10BAD"/>
    <w:rsid w:val="00F14B30"/>
    <w:rsid w:val="00F20637"/>
    <w:rsid w:val="00F27064"/>
    <w:rsid w:val="00F420E6"/>
    <w:rsid w:val="00F429D8"/>
    <w:rsid w:val="00F437B6"/>
    <w:rsid w:val="00F54EE1"/>
    <w:rsid w:val="00F55294"/>
    <w:rsid w:val="00F576CB"/>
    <w:rsid w:val="00F62179"/>
    <w:rsid w:val="00F62CDF"/>
    <w:rsid w:val="00F634C7"/>
    <w:rsid w:val="00F6373A"/>
    <w:rsid w:val="00F80493"/>
    <w:rsid w:val="00F80AE0"/>
    <w:rsid w:val="00F83DA3"/>
    <w:rsid w:val="00F8454F"/>
    <w:rsid w:val="00F870B2"/>
    <w:rsid w:val="00F87956"/>
    <w:rsid w:val="00F90520"/>
    <w:rsid w:val="00F9409F"/>
    <w:rsid w:val="00F94189"/>
    <w:rsid w:val="00F94BDC"/>
    <w:rsid w:val="00FA00BD"/>
    <w:rsid w:val="00FA0683"/>
    <w:rsid w:val="00FA44A4"/>
    <w:rsid w:val="00FC2102"/>
    <w:rsid w:val="00FC4F80"/>
    <w:rsid w:val="00FC5F73"/>
    <w:rsid w:val="00FC6935"/>
    <w:rsid w:val="00FD0ABA"/>
    <w:rsid w:val="00FD0D98"/>
    <w:rsid w:val="00FD4D26"/>
    <w:rsid w:val="00FD6478"/>
    <w:rsid w:val="00FD6C74"/>
    <w:rsid w:val="00FE4218"/>
    <w:rsid w:val="00FE4865"/>
    <w:rsid w:val="00FF3368"/>
    <w:rsid w:val="00FF52F5"/>
    <w:rsid w:val="023E4322"/>
    <w:rsid w:val="04C70BE3"/>
    <w:rsid w:val="061F2451"/>
    <w:rsid w:val="08FA1588"/>
    <w:rsid w:val="0AA3355A"/>
    <w:rsid w:val="0BF00411"/>
    <w:rsid w:val="0D0157CB"/>
    <w:rsid w:val="0F217D96"/>
    <w:rsid w:val="0F53200D"/>
    <w:rsid w:val="108E7DA3"/>
    <w:rsid w:val="115E1A4C"/>
    <w:rsid w:val="14151024"/>
    <w:rsid w:val="15F6785D"/>
    <w:rsid w:val="183D050E"/>
    <w:rsid w:val="18663791"/>
    <w:rsid w:val="1DC8425E"/>
    <w:rsid w:val="2056395E"/>
    <w:rsid w:val="236F5E31"/>
    <w:rsid w:val="241D374A"/>
    <w:rsid w:val="24794790"/>
    <w:rsid w:val="24A83ACE"/>
    <w:rsid w:val="26C35CB1"/>
    <w:rsid w:val="2FB62143"/>
    <w:rsid w:val="30544FD6"/>
    <w:rsid w:val="30F25991"/>
    <w:rsid w:val="33693D81"/>
    <w:rsid w:val="35643D39"/>
    <w:rsid w:val="356643BA"/>
    <w:rsid w:val="362D624A"/>
    <w:rsid w:val="36901318"/>
    <w:rsid w:val="386A7DA8"/>
    <w:rsid w:val="386F152F"/>
    <w:rsid w:val="38ED4849"/>
    <w:rsid w:val="39C675D5"/>
    <w:rsid w:val="39D318C7"/>
    <w:rsid w:val="3AAA260A"/>
    <w:rsid w:val="3B031709"/>
    <w:rsid w:val="3C62272C"/>
    <w:rsid w:val="3C8553DB"/>
    <w:rsid w:val="3CDA36A3"/>
    <w:rsid w:val="3E775DA1"/>
    <w:rsid w:val="3FD62667"/>
    <w:rsid w:val="40BB2352"/>
    <w:rsid w:val="419535CA"/>
    <w:rsid w:val="43424323"/>
    <w:rsid w:val="4B964FD3"/>
    <w:rsid w:val="50E3680B"/>
    <w:rsid w:val="51FA5463"/>
    <w:rsid w:val="52765DBA"/>
    <w:rsid w:val="52E96B64"/>
    <w:rsid w:val="5401445C"/>
    <w:rsid w:val="54667599"/>
    <w:rsid w:val="55154734"/>
    <w:rsid w:val="579B0E0D"/>
    <w:rsid w:val="59A97691"/>
    <w:rsid w:val="5A9D2422"/>
    <w:rsid w:val="5B6F1DC9"/>
    <w:rsid w:val="5DC85910"/>
    <w:rsid w:val="5E30443F"/>
    <w:rsid w:val="5F011456"/>
    <w:rsid w:val="5F5A62F7"/>
    <w:rsid w:val="5FEC6CB5"/>
    <w:rsid w:val="60535EA2"/>
    <w:rsid w:val="61125848"/>
    <w:rsid w:val="61BD1B7E"/>
    <w:rsid w:val="62544E9B"/>
    <w:rsid w:val="64A71CB3"/>
    <w:rsid w:val="658625C1"/>
    <w:rsid w:val="661261C7"/>
    <w:rsid w:val="685A3922"/>
    <w:rsid w:val="69A944C7"/>
    <w:rsid w:val="6BD42307"/>
    <w:rsid w:val="6C9C4FB4"/>
    <w:rsid w:val="6E0C4FB2"/>
    <w:rsid w:val="6E843F52"/>
    <w:rsid w:val="6FEF347D"/>
    <w:rsid w:val="6FFD7E48"/>
    <w:rsid w:val="71126082"/>
    <w:rsid w:val="712D4B39"/>
    <w:rsid w:val="71B97B9E"/>
    <w:rsid w:val="729E0172"/>
    <w:rsid w:val="750C59CF"/>
    <w:rsid w:val="768B6264"/>
    <w:rsid w:val="76B43161"/>
    <w:rsid w:val="789A1560"/>
    <w:rsid w:val="7BF26AC5"/>
    <w:rsid w:val="7E237B0F"/>
    <w:rsid w:val="7FF5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FollowedHyperlink"/>
    <w:basedOn w:val="9"/>
    <w:unhideWhenUsed/>
    <w:qFormat/>
    <w:uiPriority w:val="99"/>
    <w:rPr>
      <w:color w:val="800080"/>
      <w:u w:val="single"/>
    </w:rPr>
  </w:style>
  <w:style w:type="character" w:styleId="12">
    <w:name w:val="Hyperlink"/>
    <w:basedOn w:val="9"/>
    <w:unhideWhenUsed/>
    <w:qFormat/>
    <w:uiPriority w:val="99"/>
    <w:rPr>
      <w:color w:val="0000FF"/>
      <w:u w:val="single"/>
    </w:rPr>
  </w:style>
  <w:style w:type="character" w:customStyle="1" w:styleId="13">
    <w:name w:val="批注框文本 Char"/>
    <w:link w:val="3"/>
    <w:qFormat/>
    <w:uiPriority w:val="0"/>
    <w:rPr>
      <w:kern w:val="2"/>
      <w:sz w:val="18"/>
      <w:szCs w:val="18"/>
    </w:rPr>
  </w:style>
  <w:style w:type="character" w:customStyle="1" w:styleId="14">
    <w:name w:val="font81"/>
    <w:qFormat/>
    <w:uiPriority w:val="0"/>
    <w:rPr>
      <w:rFonts w:hint="eastAsia" w:ascii="宋体" w:hAnsi="宋体" w:eastAsia="宋体" w:cs="宋体"/>
      <w:color w:val="000000"/>
      <w:sz w:val="16"/>
      <w:szCs w:val="16"/>
      <w:u w:val="none"/>
    </w:rPr>
  </w:style>
  <w:style w:type="character" w:customStyle="1" w:styleId="15">
    <w:name w:val="font91"/>
    <w:qFormat/>
    <w:uiPriority w:val="0"/>
    <w:rPr>
      <w:rFonts w:hint="default" w:ascii="Times New Roman" w:hAnsi="Times New Roman" w:cs="Times New Roman"/>
      <w:color w:val="FF0000"/>
      <w:sz w:val="16"/>
      <w:szCs w:val="16"/>
      <w:u w:val="none"/>
    </w:rPr>
  </w:style>
  <w:style w:type="character" w:customStyle="1" w:styleId="16">
    <w:name w:val="font111"/>
    <w:qFormat/>
    <w:uiPriority w:val="0"/>
    <w:rPr>
      <w:rFonts w:hint="eastAsia" w:ascii="宋体" w:hAnsi="宋体" w:eastAsia="宋体" w:cs="宋体"/>
      <w:color w:val="FF0000"/>
      <w:sz w:val="16"/>
      <w:szCs w:val="16"/>
      <w:u w:val="none"/>
    </w:rPr>
  </w:style>
  <w:style w:type="character" w:customStyle="1" w:styleId="17">
    <w:name w:val="font21"/>
    <w:qFormat/>
    <w:uiPriority w:val="0"/>
    <w:rPr>
      <w:rFonts w:hint="default" w:ascii="Times New Roman" w:hAnsi="Times New Roman" w:cs="Times New Roman"/>
      <w:color w:val="000000"/>
      <w:sz w:val="16"/>
      <w:szCs w:val="16"/>
      <w:u w:val="none"/>
    </w:rPr>
  </w:style>
  <w:style w:type="character" w:customStyle="1" w:styleId="18">
    <w:name w:val="font121"/>
    <w:qFormat/>
    <w:uiPriority w:val="0"/>
    <w:rPr>
      <w:rFonts w:hint="default" w:ascii="Times New Roman" w:hAnsi="Times New Roman" w:cs="Times New Roman"/>
      <w:color w:val="FF0000"/>
      <w:sz w:val="16"/>
      <w:szCs w:val="16"/>
      <w:u w:val="none"/>
    </w:rPr>
  </w:style>
  <w:style w:type="character" w:customStyle="1" w:styleId="19">
    <w:name w:val="font31"/>
    <w:qFormat/>
    <w:uiPriority w:val="0"/>
    <w:rPr>
      <w:rFonts w:hint="eastAsia" w:ascii="宋体" w:hAnsi="宋体" w:eastAsia="宋体" w:cs="宋体"/>
      <w:b/>
      <w:color w:val="000000"/>
      <w:sz w:val="16"/>
      <w:szCs w:val="16"/>
      <w:u w:val="none"/>
    </w:rPr>
  </w:style>
  <w:style w:type="character" w:customStyle="1" w:styleId="20">
    <w:name w:val="font141"/>
    <w:qFormat/>
    <w:uiPriority w:val="0"/>
    <w:rPr>
      <w:rFonts w:hint="eastAsia" w:ascii="宋体" w:hAnsi="宋体" w:eastAsia="宋体" w:cs="宋体"/>
      <w:color w:val="000000"/>
      <w:sz w:val="16"/>
      <w:szCs w:val="16"/>
      <w:u w:val="none"/>
    </w:rPr>
  </w:style>
  <w:style w:type="paragraph" w:customStyle="1" w:styleId="21">
    <w:name w:val="Char"/>
    <w:basedOn w:val="1"/>
    <w:qFormat/>
    <w:uiPriority w:val="0"/>
    <w:pPr>
      <w:widowControl/>
      <w:spacing w:after="160" w:line="240" w:lineRule="exact"/>
      <w:jc w:val="left"/>
    </w:pPr>
    <w:rPr>
      <w:szCs w:val="21"/>
    </w:rPr>
  </w:style>
  <w:style w:type="paragraph" w:customStyle="1" w:styleId="22">
    <w:name w:val="Char Char Char Char"/>
    <w:basedOn w:val="1"/>
    <w:qFormat/>
    <w:uiPriority w:val="0"/>
    <w:rPr>
      <w:szCs w:val="20"/>
    </w:rPr>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font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5">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
    <w:name w:val="font7"/>
    <w:basedOn w:val="1"/>
    <w:qFormat/>
    <w:uiPriority w:val="0"/>
    <w:pPr>
      <w:widowControl/>
      <w:spacing w:before="100" w:beforeAutospacing="1" w:after="100" w:afterAutospacing="1"/>
      <w:jc w:val="left"/>
    </w:pPr>
    <w:rPr>
      <w:rFonts w:ascii="宋体" w:hAnsi="宋体" w:cs="宋体"/>
      <w:color w:val="D60093"/>
      <w:kern w:val="0"/>
      <w:sz w:val="20"/>
      <w:szCs w:val="20"/>
    </w:rPr>
  </w:style>
  <w:style w:type="paragraph" w:customStyle="1" w:styleId="2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29">
    <w:name w:val="xl67"/>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3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3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3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0"/>
      <w:szCs w:val="20"/>
    </w:rPr>
  </w:style>
  <w:style w:type="paragraph" w:customStyle="1" w:styleId="3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5">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6">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D60093"/>
      <w:kern w:val="0"/>
      <w:sz w:val="20"/>
      <w:szCs w:val="20"/>
    </w:rPr>
  </w:style>
  <w:style w:type="paragraph" w:customStyle="1" w:styleId="3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D60093"/>
      <w:kern w:val="0"/>
      <w:sz w:val="20"/>
      <w:szCs w:val="20"/>
    </w:rPr>
  </w:style>
  <w:style w:type="paragraph" w:customStyle="1" w:styleId="39">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
    <w:name w:val="xl7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1">
    <w:name w:val="xl7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42">
    <w:name w:val="xl80"/>
    <w:basedOn w:val="1"/>
    <w:qFormat/>
    <w:uiPriority w:val="0"/>
    <w:pPr>
      <w:widowControl/>
      <w:pBdr>
        <w:top w:val="single" w:color="auto" w:sz="4" w:space="0"/>
      </w:pBdr>
      <w:spacing w:before="100" w:beforeAutospacing="1" w:after="100" w:afterAutospacing="1"/>
      <w:jc w:val="center"/>
    </w:pPr>
    <w:rPr>
      <w:rFonts w:ascii="宋体" w:hAnsi="宋体" w:cs="宋体"/>
      <w:kern w:val="0"/>
      <w:sz w:val="20"/>
      <w:szCs w:val="20"/>
    </w:rPr>
  </w:style>
  <w:style w:type="paragraph" w:customStyle="1" w:styleId="43">
    <w:name w:val="xl81"/>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4">
    <w:name w:val="xl82"/>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45">
    <w:name w:val="xl83"/>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46">
    <w:name w:val="xl84"/>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7">
    <w:name w:val="xl85"/>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48">
    <w:name w:val="xl86"/>
    <w:basedOn w:val="1"/>
    <w:qFormat/>
    <w:uiPriority w:val="0"/>
    <w:pPr>
      <w:widowControl/>
      <w:pBdr>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49">
    <w:name w:val="xl87"/>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character" w:customStyle="1" w:styleId="50">
    <w:name w:val="font7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default" w:ascii="Times New Roman" w:hAnsi="Times New Roman" w:cs="Times New Roman"/>
      <w:color w:val="000000"/>
      <w:sz w:val="20"/>
      <w:szCs w:val="20"/>
      <w:u w:val="none"/>
    </w:rPr>
  </w:style>
  <w:style w:type="paragraph" w:customStyle="1" w:styleId="5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3">
    <w:name w:val="xl64"/>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54">
    <w:name w:val="xl88"/>
    <w:basedOn w:val="1"/>
    <w:qFormat/>
    <w:uiPriority w:val="0"/>
    <w:pPr>
      <w:widowControl/>
      <w:pBdr>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55">
    <w:name w:val="xl8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6">
    <w:name w:val="xl90"/>
    <w:basedOn w:val="1"/>
    <w:qFormat/>
    <w:uiPriority w:val="0"/>
    <w:pPr>
      <w:widowControl/>
      <w:pBdr>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57">
    <w:name w:val="xl9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11</Pages>
  <Words>5300</Words>
  <Characters>6379</Characters>
  <Lines>64</Lines>
  <Paragraphs>18</Paragraphs>
  <TotalTime>42</TotalTime>
  <ScaleCrop>false</ScaleCrop>
  <LinksUpToDate>false</LinksUpToDate>
  <CharactersWithSpaces>6660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2021-10-27T02:04:00Z</dcterms:created>
  <dc:creator>商学院</dc:creator>
  <cp:lastModifiedBy>林亚娥</cp:lastModifiedBy>
  <cp:lastPrinted>2019-07-14T15:25:00Z</cp:lastPrinted>
  <dcterms:modified xsi:type="dcterms:W3CDTF">2023-02-17T08:04:28Z</dcterms:modified>
  <dc:title>19经济培养方案</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7BF0159097B743B1B7C079F72F82D06C</vt:lpwstr>
  </property>
</Properties>
</file>