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黑体"/>
          <w:sz w:val="32"/>
          <w:szCs w:val="32"/>
        </w:rPr>
      </w:pPr>
      <w:r>
        <w:rPr>
          <w:rFonts w:hint="eastAsia" w:eastAsia="黑体"/>
          <w:bCs/>
          <w:sz w:val="32"/>
          <w:szCs w:val="32"/>
        </w:rPr>
        <w:t>物联网工程</w:t>
      </w:r>
      <w:r>
        <w:rPr>
          <w:rFonts w:eastAsia="黑体"/>
          <w:bCs/>
          <w:sz w:val="32"/>
          <w:szCs w:val="32"/>
        </w:rPr>
        <w:t>本科专业</w:t>
      </w:r>
      <w:r>
        <w:rPr>
          <w:rFonts w:hint="eastAsia" w:eastAsia="黑体"/>
          <w:bCs/>
          <w:sz w:val="32"/>
          <w:szCs w:val="32"/>
        </w:rPr>
        <w:t>人才</w:t>
      </w:r>
      <w:r>
        <w:rPr>
          <w:rFonts w:eastAsia="黑体"/>
          <w:bCs/>
          <w:sz w:val="32"/>
          <w:szCs w:val="32"/>
        </w:rPr>
        <w:t>培养方案</w:t>
      </w:r>
    </w:p>
    <w:p>
      <w:pPr>
        <w:spacing w:line="600" w:lineRule="exact"/>
        <w:jc w:val="center"/>
        <w:rPr>
          <w:sz w:val="24"/>
        </w:rPr>
      </w:pPr>
      <w:r>
        <w:rPr>
          <w:rFonts w:hAnsi="宋体"/>
          <w:szCs w:val="21"/>
        </w:rPr>
        <w:t>（</w:t>
      </w:r>
      <w:r>
        <w:rPr>
          <w:rFonts w:hint="eastAsia"/>
          <w:szCs w:val="21"/>
        </w:rPr>
        <w:t>2019</w:t>
      </w:r>
      <w:r>
        <w:rPr>
          <w:rFonts w:hAnsi="宋体"/>
          <w:szCs w:val="21"/>
        </w:rPr>
        <w:t>级起执行）</w:t>
      </w:r>
    </w:p>
    <w:p>
      <w:pPr>
        <w:spacing w:line="400" w:lineRule="exact"/>
        <w:ind w:firstLine="480" w:firstLineChars="200"/>
        <w:rPr>
          <w:rFonts w:eastAsia="黑体"/>
          <w:sz w:val="24"/>
        </w:rPr>
      </w:pPr>
      <w:r>
        <w:rPr>
          <w:rFonts w:hint="eastAsia" w:eastAsia="黑体"/>
          <w:sz w:val="24"/>
        </w:rPr>
        <w:t>一、培养目标</w:t>
      </w:r>
    </w:p>
    <w:p>
      <w:pPr>
        <w:widowControl/>
        <w:adjustRightInd w:val="0"/>
        <w:snapToGrid w:val="0"/>
        <w:spacing w:line="440" w:lineRule="exact"/>
        <w:ind w:firstLine="420" w:firstLineChars="200"/>
        <w:jc w:val="left"/>
        <w:rPr>
          <w:rFonts w:ascii="宋体" w:hAnsi="宋体" w:cs="宋体"/>
          <w:szCs w:val="21"/>
        </w:rPr>
      </w:pPr>
      <w:r>
        <w:rPr>
          <w:rFonts w:hint="eastAsia" w:ascii="宋体" w:hAnsi="宋体" w:cs="宋体"/>
          <w:szCs w:val="21"/>
        </w:rPr>
        <w:t>本专业培养适应社会主义现代化建设需要，德、智、体、美、劳全面发展，面向行业及地方经济发展需要，掌握物联网工程基本理论、基本技能，掌握物联网系统及相关领域的前沿技术，具有较强综合分析能力、系统研发能力、沟通能力和团队协作精神，具备创新思维和持续学习能力的工程应用型人才。</w:t>
      </w:r>
    </w:p>
    <w:p>
      <w:pPr>
        <w:widowControl/>
        <w:adjustRightInd w:val="0"/>
        <w:snapToGrid w:val="0"/>
        <w:spacing w:line="440" w:lineRule="exact"/>
        <w:ind w:firstLine="420" w:firstLineChars="200"/>
        <w:jc w:val="left"/>
        <w:rPr>
          <w:rFonts w:ascii="宋体" w:hAnsi="宋体" w:cs="宋体"/>
          <w:szCs w:val="21"/>
        </w:rPr>
      </w:pPr>
      <w:r>
        <w:rPr>
          <w:rFonts w:hint="eastAsia" w:ascii="宋体" w:hAnsi="宋体" w:cs="宋体"/>
          <w:szCs w:val="21"/>
        </w:rPr>
        <w:t>学生毕业五年后应具备如下能力：</w:t>
      </w:r>
    </w:p>
    <w:p>
      <w:pPr>
        <w:widowControl/>
        <w:adjustRightInd w:val="0"/>
        <w:snapToGrid w:val="0"/>
        <w:spacing w:line="440" w:lineRule="exact"/>
        <w:ind w:firstLine="420" w:firstLineChars="200"/>
        <w:jc w:val="left"/>
        <w:rPr>
          <w:rFonts w:ascii="宋体" w:hAnsi="宋体" w:cs="宋体"/>
          <w:szCs w:val="21"/>
        </w:rPr>
      </w:pPr>
      <w:r>
        <w:rPr>
          <w:rFonts w:hint="eastAsia" w:ascii="宋体" w:hAnsi="宋体" w:cs="宋体"/>
          <w:szCs w:val="21"/>
        </w:rPr>
        <w:t>1．具有良好的人文社会科学素养、职业道德和团队协作能力，能成为团队骨干力量；</w:t>
      </w:r>
    </w:p>
    <w:p>
      <w:pPr>
        <w:widowControl/>
        <w:adjustRightInd w:val="0"/>
        <w:snapToGrid w:val="0"/>
        <w:spacing w:line="440" w:lineRule="exact"/>
        <w:ind w:firstLine="420" w:firstLineChars="200"/>
        <w:jc w:val="left"/>
        <w:rPr>
          <w:rFonts w:ascii="宋体" w:hAnsi="宋体" w:cs="宋体"/>
          <w:szCs w:val="21"/>
        </w:rPr>
      </w:pPr>
      <w:r>
        <w:rPr>
          <w:rFonts w:hint="eastAsia" w:ascii="宋体" w:hAnsi="宋体" w:cs="宋体"/>
          <w:szCs w:val="21"/>
        </w:rPr>
        <w:t>2．掌握数学、自然科学等学科知识，具有一定的物联网工程技术基础和专业知识，能为工程项目解决实际问题；</w:t>
      </w:r>
    </w:p>
    <w:p>
      <w:pPr>
        <w:widowControl/>
        <w:adjustRightInd w:val="0"/>
        <w:snapToGrid w:val="0"/>
        <w:spacing w:line="440" w:lineRule="exact"/>
        <w:ind w:firstLine="420" w:firstLineChars="200"/>
        <w:jc w:val="left"/>
        <w:rPr>
          <w:rFonts w:ascii="宋体" w:hAnsi="宋体" w:cs="宋体"/>
          <w:szCs w:val="21"/>
        </w:rPr>
      </w:pPr>
      <w:r>
        <w:rPr>
          <w:rFonts w:hint="eastAsia" w:ascii="宋体" w:hAnsi="宋体" w:cs="宋体"/>
          <w:szCs w:val="21"/>
        </w:rPr>
        <w:t>3．具备创新思维和国际视野，能通过自主学习等途径获取知识、提升技能，能为工程项目撰写建设方案；</w:t>
      </w:r>
    </w:p>
    <w:p>
      <w:pPr>
        <w:widowControl/>
        <w:adjustRightInd w:val="0"/>
        <w:snapToGrid w:val="0"/>
        <w:spacing w:line="440" w:lineRule="exact"/>
        <w:ind w:firstLine="420" w:firstLineChars="200"/>
        <w:jc w:val="left"/>
        <w:rPr>
          <w:rFonts w:ascii="宋体" w:hAnsi="宋体"/>
        </w:rPr>
      </w:pPr>
      <w:r>
        <w:rPr>
          <w:rFonts w:hint="eastAsia" w:ascii="宋体" w:hAnsi="宋体" w:cs="宋体"/>
          <w:szCs w:val="21"/>
        </w:rPr>
        <w:t>4．能从事物联网工程与信息服务的研究、开发、集成、应用和管理工作，能成为项目主持人、工程负责人等。</w:t>
      </w:r>
    </w:p>
    <w:p>
      <w:pPr>
        <w:pStyle w:val="3"/>
        <w:spacing w:line="420" w:lineRule="exact"/>
        <w:ind w:firstLine="480" w:firstLineChars="200"/>
        <w:rPr>
          <w:rFonts w:eastAsia="黑体"/>
          <w:sz w:val="24"/>
        </w:rPr>
      </w:pPr>
      <w:r>
        <w:rPr>
          <w:rFonts w:hint="eastAsia" w:eastAsia="黑体"/>
          <w:sz w:val="24"/>
        </w:rPr>
        <w:t>二、毕业要求</w:t>
      </w:r>
    </w:p>
    <w:p>
      <w:pPr>
        <w:spacing w:line="400" w:lineRule="exact"/>
        <w:ind w:firstLine="420" w:firstLineChars="200"/>
        <w:rPr>
          <w:rFonts w:ascii="宋体" w:hAnsi="宋体" w:cs="宋体"/>
          <w:kern w:val="0"/>
          <w:szCs w:val="21"/>
        </w:rPr>
      </w:pPr>
      <w:r>
        <w:rPr>
          <w:rFonts w:hint="eastAsia" w:ascii="宋体" w:hAnsi="宋体" w:cs="宋体"/>
          <w:kern w:val="0"/>
          <w:szCs w:val="21"/>
        </w:rPr>
        <w:t>本专业学生主要学习物联网工程的基本理论和基本知识，接受科学思维、系统分析及技术的基本训练，具备获取知识能力、应用知识能力及创新创业能力等基本能力。</w:t>
      </w:r>
    </w:p>
    <w:p>
      <w:pPr>
        <w:spacing w:line="400" w:lineRule="exact"/>
        <w:ind w:firstLine="420" w:firstLineChars="200"/>
        <w:rPr>
          <w:rFonts w:ascii="宋体" w:hAnsi="宋体" w:cs="宋体"/>
          <w:kern w:val="0"/>
          <w:szCs w:val="21"/>
        </w:rPr>
      </w:pPr>
      <w:r>
        <w:rPr>
          <w:rFonts w:hint="eastAsia" w:ascii="宋体" w:hAnsi="宋体" w:cs="宋体"/>
          <w:kern w:val="0"/>
          <w:szCs w:val="21"/>
        </w:rPr>
        <w:t>毕业生应获得以下几个方面的知识和能力：</w:t>
      </w:r>
    </w:p>
    <w:p>
      <w:pPr>
        <w:spacing w:line="400" w:lineRule="exact"/>
        <w:ind w:firstLine="420" w:firstLineChars="200"/>
        <w:rPr>
          <w:rFonts w:ascii="宋体" w:hAnsi="宋体" w:cs="宋体"/>
          <w:kern w:val="0"/>
          <w:szCs w:val="21"/>
        </w:rPr>
      </w:pPr>
      <w:r>
        <w:rPr>
          <w:rFonts w:hint="eastAsia" w:ascii="宋体" w:hAnsi="宋体" w:cs="宋体"/>
          <w:kern w:val="0"/>
          <w:szCs w:val="21"/>
        </w:rPr>
        <w:t>1</w:t>
      </w:r>
      <w:r>
        <w:rPr>
          <w:rFonts w:hint="eastAsia" w:hAnsi="宋体"/>
          <w:bCs/>
          <w:szCs w:val="21"/>
        </w:rPr>
        <w:t>．</w:t>
      </w:r>
      <w:r>
        <w:rPr>
          <w:rFonts w:hint="eastAsia" w:ascii="宋体" w:hAnsi="宋体" w:cs="宋体"/>
          <w:kern w:val="0"/>
          <w:szCs w:val="21"/>
        </w:rPr>
        <w:t>工程知识：能够将数学、自然科学、工程基础和物联网工程专业知识用于解决复杂物联网工程问题以获得有效结论；</w:t>
      </w:r>
    </w:p>
    <w:p>
      <w:pPr>
        <w:spacing w:line="400" w:lineRule="exact"/>
        <w:ind w:firstLine="420" w:firstLineChars="200"/>
        <w:rPr>
          <w:rFonts w:ascii="宋体" w:hAnsi="宋体" w:cs="宋体"/>
          <w:kern w:val="0"/>
          <w:szCs w:val="21"/>
        </w:rPr>
      </w:pPr>
      <w:r>
        <w:rPr>
          <w:rFonts w:hint="eastAsia" w:ascii="宋体" w:hAnsi="宋体" w:cs="宋体"/>
          <w:kern w:val="0"/>
          <w:szCs w:val="21"/>
        </w:rPr>
        <w:t>2</w:t>
      </w:r>
      <w:r>
        <w:rPr>
          <w:rFonts w:hint="eastAsia" w:hAnsi="宋体"/>
          <w:bCs/>
          <w:szCs w:val="21"/>
        </w:rPr>
        <w:t>．</w:t>
      </w:r>
      <w:r>
        <w:rPr>
          <w:rFonts w:hint="eastAsia" w:ascii="宋体" w:hAnsi="宋体" w:cs="宋体"/>
          <w:kern w:val="0"/>
          <w:szCs w:val="21"/>
        </w:rPr>
        <w:t>问题分析：能够应用数学、自然科学和工程科学的基本原理，识别、表达、并通过文献研究分析复杂物联网工程问题，以获得有效结论；</w:t>
      </w:r>
    </w:p>
    <w:p>
      <w:pPr>
        <w:spacing w:line="400" w:lineRule="exact"/>
        <w:ind w:firstLine="420" w:firstLineChars="200"/>
        <w:rPr>
          <w:rFonts w:ascii="宋体" w:hAnsi="宋体" w:cs="宋体"/>
          <w:kern w:val="0"/>
          <w:szCs w:val="21"/>
        </w:rPr>
      </w:pPr>
      <w:r>
        <w:rPr>
          <w:rFonts w:hint="eastAsia" w:ascii="宋体" w:hAnsi="宋体" w:cs="宋体"/>
          <w:kern w:val="0"/>
          <w:szCs w:val="21"/>
        </w:rPr>
        <w:t>3</w:t>
      </w:r>
      <w:r>
        <w:rPr>
          <w:rFonts w:hint="eastAsia" w:hAnsi="宋体"/>
          <w:bCs/>
          <w:szCs w:val="21"/>
        </w:rPr>
        <w:t>．</w:t>
      </w:r>
      <w:r>
        <w:rPr>
          <w:rFonts w:hint="eastAsia" w:ascii="宋体" w:hAnsi="宋体" w:cs="宋体"/>
          <w:kern w:val="0"/>
          <w:szCs w:val="21"/>
        </w:rPr>
        <w:t>方案设计：掌握物联网系统分析与设计的基本方法；具备针对复杂物联网工程问题的分析、设计及报告撰写能力，能够对物联网工程问题设计解决方案，并考虑社会、健康、安全、法律、文化以及环境等因素；</w:t>
      </w:r>
    </w:p>
    <w:p>
      <w:pPr>
        <w:spacing w:line="400" w:lineRule="exact"/>
        <w:ind w:firstLine="420" w:firstLineChars="200"/>
        <w:rPr>
          <w:rFonts w:ascii="宋体" w:hAnsi="宋体" w:cs="宋体"/>
          <w:kern w:val="0"/>
          <w:szCs w:val="21"/>
        </w:rPr>
      </w:pPr>
      <w:r>
        <w:rPr>
          <w:rFonts w:hint="eastAsia" w:ascii="宋体" w:hAnsi="宋体" w:cs="宋体"/>
          <w:kern w:val="0"/>
          <w:szCs w:val="21"/>
        </w:rPr>
        <w:t>4</w:t>
      </w:r>
      <w:r>
        <w:rPr>
          <w:rFonts w:hint="eastAsia" w:hAnsi="宋体"/>
          <w:bCs/>
          <w:szCs w:val="21"/>
        </w:rPr>
        <w:t>．</w:t>
      </w:r>
      <w:r>
        <w:rPr>
          <w:rFonts w:hint="eastAsia" w:ascii="宋体" w:hAnsi="宋体" w:cs="宋体"/>
          <w:kern w:val="0"/>
          <w:szCs w:val="21"/>
        </w:rPr>
        <w:t>问题研究：能够基于科学原理并采用科学方法对复杂物联网工程问题进行研究，具有设计实验及进行数据采集、数据分析、数据处理及结果分析的能力，并能通过信息综合得到合理有效的结论；</w:t>
      </w:r>
    </w:p>
    <w:p>
      <w:pPr>
        <w:spacing w:line="400" w:lineRule="exact"/>
        <w:ind w:firstLine="420" w:firstLineChars="200"/>
        <w:rPr>
          <w:rFonts w:ascii="宋体" w:hAnsi="宋体" w:cs="宋体"/>
          <w:kern w:val="0"/>
          <w:szCs w:val="21"/>
        </w:rPr>
      </w:pPr>
      <w:r>
        <w:rPr>
          <w:rFonts w:hint="eastAsia" w:ascii="宋体" w:hAnsi="宋体" w:cs="宋体"/>
          <w:kern w:val="0"/>
          <w:szCs w:val="21"/>
        </w:rPr>
        <w:t>5</w:t>
      </w:r>
      <w:r>
        <w:rPr>
          <w:rFonts w:hint="eastAsia" w:hAnsi="宋体"/>
          <w:bCs/>
          <w:szCs w:val="21"/>
        </w:rPr>
        <w:t>．</w:t>
      </w:r>
      <w:r>
        <w:rPr>
          <w:rFonts w:hint="eastAsia" w:ascii="宋体" w:hAnsi="宋体" w:cs="宋体"/>
          <w:kern w:val="0"/>
          <w:szCs w:val="21"/>
        </w:rPr>
        <w:t>工具使用：能够针对复杂问题，开发、选择与使用恰当的技术、资源、现代工程工具和信息技术工具，包括对复杂物联网工程问题的预测与模拟，并能够理解其局限性；</w:t>
      </w:r>
    </w:p>
    <w:p>
      <w:pPr>
        <w:spacing w:line="400" w:lineRule="exact"/>
        <w:ind w:firstLine="420" w:firstLineChars="200"/>
        <w:rPr>
          <w:rFonts w:ascii="宋体" w:hAnsi="宋体" w:cs="宋体"/>
          <w:kern w:val="0"/>
          <w:szCs w:val="21"/>
        </w:rPr>
      </w:pPr>
      <w:r>
        <w:rPr>
          <w:rFonts w:hint="eastAsia" w:ascii="宋体" w:hAnsi="宋体" w:cs="宋体"/>
          <w:kern w:val="0"/>
          <w:szCs w:val="21"/>
        </w:rPr>
        <w:t>6</w:t>
      </w:r>
      <w:r>
        <w:rPr>
          <w:rFonts w:hint="eastAsia" w:hAnsi="宋体"/>
          <w:bCs/>
          <w:szCs w:val="21"/>
        </w:rPr>
        <w:t>．</w:t>
      </w:r>
      <w:r>
        <w:rPr>
          <w:rFonts w:hint="eastAsia" w:ascii="宋体" w:hAnsi="宋体" w:cs="宋体"/>
          <w:kern w:val="0"/>
          <w:szCs w:val="21"/>
        </w:rPr>
        <w:t>工程与社会：能够基于工程相关背景知识进行合理分析，评价专业工程实践和复杂物联网工程问题解决方案对社会、健康、安全、法律以及文化的影响，并理解应承担的责任；</w:t>
      </w:r>
    </w:p>
    <w:p>
      <w:pPr>
        <w:spacing w:line="400" w:lineRule="exact"/>
        <w:ind w:firstLine="420" w:firstLineChars="200"/>
        <w:rPr>
          <w:rFonts w:ascii="宋体" w:hAnsi="宋体" w:cs="宋体"/>
          <w:kern w:val="0"/>
          <w:szCs w:val="21"/>
        </w:rPr>
      </w:pPr>
      <w:r>
        <w:rPr>
          <w:rFonts w:hint="eastAsia" w:ascii="宋体" w:hAnsi="宋体" w:cs="宋体"/>
          <w:kern w:val="0"/>
          <w:szCs w:val="21"/>
        </w:rPr>
        <w:t>7</w:t>
      </w:r>
      <w:r>
        <w:rPr>
          <w:rFonts w:hint="eastAsia" w:hAnsi="宋体"/>
          <w:bCs/>
          <w:szCs w:val="21"/>
        </w:rPr>
        <w:t>．</w:t>
      </w:r>
      <w:r>
        <w:rPr>
          <w:rFonts w:hint="eastAsia" w:ascii="宋体" w:hAnsi="宋体" w:cs="宋体"/>
          <w:kern w:val="0"/>
          <w:szCs w:val="21"/>
        </w:rPr>
        <w:t>环境和可持续发展：能够理解和评价针对复杂物联网工程问题的工程实践对环境、社会可持续发展的影响；</w:t>
      </w:r>
    </w:p>
    <w:p>
      <w:pPr>
        <w:spacing w:line="400" w:lineRule="exact"/>
        <w:ind w:firstLine="420" w:firstLineChars="200"/>
        <w:rPr>
          <w:rFonts w:ascii="宋体" w:hAnsi="宋体" w:cs="宋体"/>
          <w:kern w:val="0"/>
          <w:szCs w:val="21"/>
        </w:rPr>
      </w:pPr>
      <w:r>
        <w:rPr>
          <w:rFonts w:hint="eastAsia" w:ascii="宋体" w:hAnsi="宋体" w:cs="宋体"/>
          <w:kern w:val="0"/>
          <w:szCs w:val="21"/>
        </w:rPr>
        <w:t>8</w:t>
      </w:r>
      <w:r>
        <w:rPr>
          <w:rFonts w:hint="eastAsia" w:hAnsi="宋体"/>
          <w:bCs/>
          <w:szCs w:val="21"/>
        </w:rPr>
        <w:t>．</w:t>
      </w:r>
      <w:r>
        <w:rPr>
          <w:rFonts w:hint="eastAsia" w:ascii="宋体" w:hAnsi="宋体" w:cs="宋体"/>
          <w:kern w:val="0"/>
          <w:szCs w:val="21"/>
        </w:rPr>
        <w:t>个人和团队：具有人文社会科学素养、社会责任感，能够在工程实践中理解并遵守工程职业道德和规范，履行责任；</w:t>
      </w:r>
    </w:p>
    <w:p>
      <w:pPr>
        <w:spacing w:line="400" w:lineRule="exact"/>
        <w:ind w:firstLine="420" w:firstLineChars="200"/>
        <w:rPr>
          <w:rFonts w:ascii="宋体" w:hAnsi="宋体" w:cs="宋体"/>
          <w:kern w:val="0"/>
          <w:szCs w:val="21"/>
        </w:rPr>
      </w:pPr>
      <w:r>
        <w:rPr>
          <w:rFonts w:hint="eastAsia" w:ascii="宋体" w:hAnsi="宋体" w:cs="宋体"/>
          <w:kern w:val="0"/>
          <w:szCs w:val="21"/>
        </w:rPr>
        <w:t>9</w:t>
      </w:r>
      <w:r>
        <w:rPr>
          <w:rFonts w:hint="eastAsia" w:hAnsi="宋体"/>
          <w:bCs/>
          <w:szCs w:val="21"/>
        </w:rPr>
        <w:t>．</w:t>
      </w:r>
      <w:r>
        <w:rPr>
          <w:rFonts w:hint="eastAsia" w:ascii="宋体" w:hAnsi="宋体" w:cs="宋体"/>
          <w:kern w:val="0"/>
          <w:szCs w:val="21"/>
        </w:rPr>
        <w:t>交流与沟通：能够在多学科背景下的团队中承担个体、团队成员以及负责人的角色；</w:t>
      </w:r>
    </w:p>
    <w:p>
      <w:pPr>
        <w:spacing w:line="400" w:lineRule="exact"/>
        <w:ind w:firstLine="420" w:firstLineChars="200"/>
        <w:rPr>
          <w:rFonts w:ascii="宋体" w:hAnsi="宋体" w:cs="宋体"/>
          <w:kern w:val="0"/>
          <w:szCs w:val="21"/>
        </w:rPr>
      </w:pPr>
      <w:r>
        <w:rPr>
          <w:rFonts w:hint="eastAsia" w:ascii="宋体" w:hAnsi="宋体" w:cs="宋体"/>
          <w:kern w:val="0"/>
          <w:szCs w:val="21"/>
        </w:rPr>
        <w:t>10</w:t>
      </w:r>
      <w:r>
        <w:rPr>
          <w:rFonts w:hint="eastAsia" w:hAnsi="宋体"/>
          <w:bCs/>
          <w:szCs w:val="21"/>
        </w:rPr>
        <w:t>．</w:t>
      </w:r>
      <w:r>
        <w:rPr>
          <w:rFonts w:hint="eastAsia" w:ascii="宋体" w:hAnsi="宋体" w:cs="宋体"/>
          <w:kern w:val="0"/>
          <w:szCs w:val="21"/>
        </w:rPr>
        <w:t>项目管理：能够就复杂物联网工程问题与业界同行及社会公众进行有效沟通和交流，包括撰写报告和设计文稿、陈述发言、清晰表达或回应指令，并具备一定的国际视野，能够在跨文化背景下进行沟通和交流；</w:t>
      </w:r>
    </w:p>
    <w:p>
      <w:pPr>
        <w:spacing w:line="400" w:lineRule="exact"/>
        <w:ind w:firstLine="420" w:firstLineChars="200"/>
        <w:rPr>
          <w:rFonts w:ascii="宋体" w:hAnsi="宋体" w:cs="宋体"/>
          <w:kern w:val="0"/>
          <w:szCs w:val="21"/>
        </w:rPr>
      </w:pPr>
      <w:r>
        <w:rPr>
          <w:rFonts w:hint="eastAsia" w:ascii="宋体" w:hAnsi="宋体" w:cs="宋体"/>
          <w:kern w:val="0"/>
          <w:szCs w:val="21"/>
        </w:rPr>
        <w:t>11</w:t>
      </w:r>
      <w:r>
        <w:rPr>
          <w:rFonts w:hint="eastAsia" w:hAnsi="宋体"/>
          <w:bCs/>
          <w:szCs w:val="21"/>
        </w:rPr>
        <w:t>．</w:t>
      </w:r>
      <w:r>
        <w:rPr>
          <w:rFonts w:hint="eastAsia" w:ascii="宋体" w:hAnsi="宋体" w:cs="宋体"/>
          <w:kern w:val="0"/>
          <w:szCs w:val="21"/>
        </w:rPr>
        <w:t>职业规范：理解并掌握物联网工程管理原理与经济决策方法，并能在多学科环境中应用；</w:t>
      </w:r>
    </w:p>
    <w:p>
      <w:pPr>
        <w:spacing w:line="400" w:lineRule="exact"/>
        <w:ind w:firstLine="420" w:firstLineChars="200"/>
        <w:rPr>
          <w:rFonts w:ascii="宋体" w:hAnsi="宋体" w:cs="宋体"/>
          <w:kern w:val="0"/>
          <w:szCs w:val="21"/>
        </w:rPr>
      </w:pPr>
      <w:r>
        <w:rPr>
          <w:rFonts w:hint="eastAsia" w:ascii="宋体" w:hAnsi="宋体" w:cs="宋体"/>
          <w:kern w:val="0"/>
          <w:szCs w:val="21"/>
        </w:rPr>
        <w:t>12</w:t>
      </w:r>
      <w:r>
        <w:rPr>
          <w:rFonts w:hint="eastAsia" w:hAnsi="宋体"/>
          <w:bCs/>
          <w:szCs w:val="21"/>
        </w:rPr>
        <w:t>．</w:t>
      </w:r>
      <w:r>
        <w:rPr>
          <w:rFonts w:hint="eastAsia" w:ascii="宋体" w:hAnsi="宋体" w:cs="宋体"/>
          <w:kern w:val="0"/>
          <w:szCs w:val="21"/>
        </w:rPr>
        <w:t>终身学习：具有自主学习和终身学习的意识，有不断学习和适应发展的能力。</w:t>
      </w:r>
    </w:p>
    <w:p>
      <w:pPr>
        <w:spacing w:line="400" w:lineRule="exact"/>
        <w:ind w:firstLine="480" w:firstLineChars="200"/>
        <w:rPr>
          <w:rFonts w:eastAsia="黑体"/>
          <w:sz w:val="24"/>
        </w:rPr>
      </w:pPr>
      <w:r>
        <w:rPr>
          <w:rFonts w:hint="eastAsia" w:eastAsia="黑体"/>
          <w:sz w:val="24"/>
        </w:rPr>
        <w:t>三</w:t>
      </w:r>
      <w:r>
        <w:rPr>
          <w:rFonts w:eastAsia="黑体"/>
          <w:sz w:val="24"/>
        </w:rPr>
        <w:t>、</w:t>
      </w:r>
      <w:r>
        <w:rPr>
          <w:rFonts w:hint="eastAsia" w:eastAsia="黑体"/>
          <w:sz w:val="24"/>
        </w:rPr>
        <w:t>学制、授予学位及毕业最低学分</w:t>
      </w:r>
    </w:p>
    <w:p>
      <w:pPr>
        <w:spacing w:line="400" w:lineRule="exact"/>
        <w:ind w:firstLine="422" w:firstLineChars="200"/>
        <w:rPr>
          <w:szCs w:val="21"/>
        </w:rPr>
      </w:pPr>
      <w:r>
        <w:rPr>
          <w:rFonts w:hint="eastAsia"/>
          <w:b/>
          <w:bCs/>
          <w:szCs w:val="21"/>
        </w:rPr>
        <w:t>1．学制：</w:t>
      </w:r>
      <w:r>
        <w:rPr>
          <w:rFonts w:hint="eastAsia"/>
          <w:szCs w:val="21"/>
        </w:rPr>
        <w:t>标准学制为4年，弹性学制3-6年。</w:t>
      </w:r>
    </w:p>
    <w:p>
      <w:pPr>
        <w:spacing w:line="400" w:lineRule="exact"/>
        <w:ind w:firstLine="422" w:firstLineChars="200"/>
        <w:rPr>
          <w:szCs w:val="21"/>
        </w:rPr>
      </w:pPr>
      <w:r>
        <w:rPr>
          <w:rFonts w:hint="eastAsia"/>
          <w:b/>
          <w:szCs w:val="21"/>
        </w:rPr>
        <w:t>2</w:t>
      </w:r>
      <w:r>
        <w:rPr>
          <w:rFonts w:hint="eastAsia" w:hAnsi="宋体"/>
          <w:b/>
          <w:szCs w:val="21"/>
        </w:rPr>
        <w:t>．</w:t>
      </w:r>
      <w:r>
        <w:rPr>
          <w:rFonts w:hAnsi="宋体"/>
          <w:b/>
          <w:szCs w:val="21"/>
        </w:rPr>
        <w:t>授予学位：</w:t>
      </w:r>
      <w:r>
        <w:rPr>
          <w:rFonts w:hint="eastAsia" w:hAnsi="宋体"/>
          <w:szCs w:val="21"/>
        </w:rPr>
        <w:t>工学</w:t>
      </w:r>
      <w:r>
        <w:rPr>
          <w:rFonts w:hAnsi="宋体"/>
          <w:szCs w:val="21"/>
        </w:rPr>
        <w:t>学士。</w:t>
      </w:r>
    </w:p>
    <w:p>
      <w:pPr>
        <w:spacing w:line="400" w:lineRule="exact"/>
        <w:ind w:firstLine="422" w:firstLineChars="200"/>
        <w:rPr>
          <w:szCs w:val="21"/>
        </w:rPr>
      </w:pPr>
      <w:r>
        <w:rPr>
          <w:rFonts w:hint="eastAsia"/>
          <w:b/>
          <w:bCs/>
          <w:szCs w:val="21"/>
        </w:rPr>
        <w:t>3．毕业最低总学分：</w:t>
      </w:r>
      <w:r>
        <w:rPr>
          <w:rFonts w:hint="eastAsia"/>
          <w:szCs w:val="21"/>
        </w:rPr>
        <w:t>160学分。</w:t>
      </w:r>
    </w:p>
    <w:p>
      <w:pPr>
        <w:spacing w:line="400" w:lineRule="exact"/>
        <w:ind w:firstLine="480" w:firstLineChars="200"/>
        <w:rPr>
          <w:rFonts w:eastAsia="黑体"/>
          <w:sz w:val="24"/>
        </w:rPr>
      </w:pPr>
      <w:r>
        <w:rPr>
          <w:rFonts w:eastAsia="黑体"/>
          <w:sz w:val="24"/>
        </w:rPr>
        <w:t>四、课程设置</w:t>
      </w:r>
    </w:p>
    <w:p>
      <w:pPr>
        <w:spacing w:line="400" w:lineRule="exact"/>
        <w:ind w:firstLine="420" w:firstLineChars="200"/>
        <w:rPr>
          <w:bCs/>
          <w:szCs w:val="21"/>
        </w:rPr>
      </w:pPr>
      <w:r>
        <w:rPr>
          <w:bCs/>
          <w:szCs w:val="21"/>
        </w:rPr>
        <w:t>1</w:t>
      </w:r>
      <w:r>
        <w:rPr>
          <w:rFonts w:hint="eastAsia" w:hAnsi="宋体"/>
          <w:bCs/>
          <w:szCs w:val="21"/>
        </w:rPr>
        <w:t>．</w:t>
      </w:r>
      <w:r>
        <w:rPr>
          <w:rFonts w:hAnsi="宋体"/>
          <w:bCs/>
          <w:szCs w:val="21"/>
        </w:rPr>
        <w:t>主干学科：</w:t>
      </w:r>
      <w:r>
        <w:rPr>
          <w:rFonts w:hint="eastAsia" w:hAnsi="宋体"/>
          <w:bCs/>
          <w:szCs w:val="21"/>
        </w:rPr>
        <w:t>计算机科学与技术</w:t>
      </w:r>
      <w:r>
        <w:rPr>
          <w:rFonts w:hAnsi="宋体"/>
          <w:szCs w:val="21"/>
        </w:rPr>
        <w:t>。</w:t>
      </w:r>
    </w:p>
    <w:p>
      <w:pPr>
        <w:spacing w:line="400" w:lineRule="exact"/>
        <w:ind w:firstLine="420" w:firstLineChars="200"/>
        <w:rPr>
          <w:szCs w:val="21"/>
        </w:rPr>
      </w:pPr>
      <w:r>
        <w:rPr>
          <w:bCs/>
          <w:szCs w:val="21"/>
        </w:rPr>
        <w:t>2</w:t>
      </w:r>
      <w:r>
        <w:rPr>
          <w:rFonts w:hint="eastAsia" w:hAnsi="宋体"/>
          <w:bCs/>
          <w:szCs w:val="21"/>
        </w:rPr>
        <w:t>．核心</w:t>
      </w:r>
      <w:r>
        <w:rPr>
          <w:rFonts w:hAnsi="宋体"/>
          <w:bCs/>
          <w:szCs w:val="21"/>
        </w:rPr>
        <w:t>课程：</w:t>
      </w:r>
      <w:r>
        <w:rPr>
          <w:rFonts w:hint="eastAsia" w:hAnsi="宋体"/>
          <w:szCs w:val="21"/>
        </w:rPr>
        <w:t>物联网工程基础、模拟与数字电路设计、计算机网络、高级语言程序设计、数据结构、传感器原理、传感网原理及应用、嵌入式系统、RFID技术、物联网工程规划与设计</w:t>
      </w:r>
      <w:r>
        <w:rPr>
          <w:rFonts w:hAnsi="宋体"/>
          <w:szCs w:val="21"/>
        </w:rPr>
        <w:t>。</w:t>
      </w:r>
    </w:p>
    <w:p>
      <w:pPr>
        <w:spacing w:line="400" w:lineRule="exact"/>
        <w:ind w:firstLine="420" w:firstLineChars="200"/>
        <w:rPr>
          <w:szCs w:val="21"/>
        </w:rPr>
      </w:pPr>
      <w:r>
        <w:rPr>
          <w:bCs/>
          <w:szCs w:val="21"/>
        </w:rPr>
        <w:t>3</w:t>
      </w:r>
      <w:r>
        <w:rPr>
          <w:rFonts w:hint="eastAsia" w:hAnsi="宋体"/>
          <w:bCs/>
          <w:szCs w:val="21"/>
        </w:rPr>
        <w:t>．</w:t>
      </w:r>
      <w:r>
        <w:rPr>
          <w:rFonts w:hAnsi="宋体"/>
          <w:bCs/>
          <w:szCs w:val="21"/>
        </w:rPr>
        <w:t>主要实践性教学环节：</w:t>
      </w:r>
      <w:r>
        <w:rPr>
          <w:rFonts w:hint="eastAsia" w:hAnsi="宋体"/>
          <w:bCs/>
          <w:szCs w:val="21"/>
        </w:rPr>
        <w:t>社会实践与实习（社会认知实践、管理认知实习、专业实习等）、综合论文训练（毕业设计（论文）及其他科研实践等）等多种形式</w:t>
      </w:r>
      <w:r>
        <w:rPr>
          <w:rFonts w:hAnsi="宋体"/>
          <w:szCs w:val="21"/>
        </w:rPr>
        <w:t>。</w:t>
      </w:r>
    </w:p>
    <w:p>
      <w:pPr>
        <w:spacing w:line="400" w:lineRule="exact"/>
        <w:ind w:firstLine="420" w:firstLineChars="200"/>
        <w:rPr>
          <w:szCs w:val="21"/>
        </w:rPr>
      </w:pPr>
      <w:r>
        <w:rPr>
          <w:szCs w:val="21"/>
        </w:rPr>
        <w:t>4</w:t>
      </w:r>
      <w:r>
        <w:rPr>
          <w:rFonts w:hint="eastAsia" w:hAnsi="宋体"/>
          <w:bCs/>
          <w:szCs w:val="21"/>
        </w:rPr>
        <w:t>．</w:t>
      </w:r>
      <w:r>
        <w:rPr>
          <w:rFonts w:hAnsi="宋体"/>
          <w:szCs w:val="21"/>
        </w:rPr>
        <w:t>主要专业实验：</w:t>
      </w:r>
      <w:r>
        <w:rPr>
          <w:rFonts w:hint="eastAsia" w:hAnsi="宋体"/>
          <w:szCs w:val="21"/>
        </w:rPr>
        <w:t>课程实验与课程设计（程序设计、传感器实验、传感网实验、物联网实验、物联网数据处理实验、物联网工程实验）</w:t>
      </w:r>
      <w:r>
        <w:rPr>
          <w:rFonts w:hAnsi="宋体"/>
          <w:szCs w:val="21"/>
        </w:rPr>
        <w:t>。</w:t>
      </w:r>
    </w:p>
    <w:p>
      <w:pPr>
        <w:spacing w:line="400" w:lineRule="exact"/>
        <w:ind w:firstLine="420" w:firstLineChars="200"/>
        <w:rPr>
          <w:rFonts w:hAnsi="宋体"/>
          <w:szCs w:val="21"/>
        </w:rPr>
      </w:pPr>
      <w:r>
        <w:rPr>
          <w:szCs w:val="21"/>
        </w:rPr>
        <w:t>5</w:t>
      </w:r>
      <w:r>
        <w:rPr>
          <w:rFonts w:hint="eastAsia" w:hAnsi="宋体"/>
          <w:bCs/>
          <w:szCs w:val="21"/>
        </w:rPr>
        <w:t>．</w:t>
      </w:r>
      <w:r>
        <w:rPr>
          <w:rFonts w:hAnsi="宋体"/>
          <w:szCs w:val="21"/>
        </w:rPr>
        <w:t>课程结构比例：</w:t>
      </w:r>
    </w:p>
    <w:p>
      <w:pPr>
        <w:spacing w:line="400" w:lineRule="exact"/>
        <w:jc w:val="center"/>
        <w:rPr>
          <w:rFonts w:hAnsi="宋体"/>
          <w:szCs w:val="21"/>
        </w:rPr>
      </w:pPr>
      <w:r>
        <w:rPr>
          <w:rFonts w:hAnsi="宋体"/>
          <w:szCs w:val="21"/>
        </w:rPr>
        <w:t>各类课程模块学时、学分分布表</w:t>
      </w:r>
    </w:p>
    <w:tbl>
      <w:tblPr>
        <w:tblStyle w:val="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087"/>
        <w:gridCol w:w="823"/>
        <w:gridCol w:w="941"/>
        <w:gridCol w:w="1446"/>
        <w:gridCol w:w="1140"/>
        <w:gridCol w:w="1047"/>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8" w:type="dxa"/>
            <w:gridSpan w:val="3"/>
            <w:vMerge w:val="restart"/>
            <w:vAlign w:val="center"/>
          </w:tcPr>
          <w:p>
            <w:pPr>
              <w:widowControl/>
              <w:spacing w:line="400" w:lineRule="exact"/>
              <w:jc w:val="center"/>
              <w:rPr>
                <w:rFonts w:hAnsi="宋体"/>
                <w:kern w:val="0"/>
                <w:szCs w:val="21"/>
              </w:rPr>
            </w:pPr>
            <w:r>
              <w:rPr>
                <w:rFonts w:hint="eastAsia" w:hAnsi="宋体"/>
                <w:kern w:val="0"/>
                <w:szCs w:val="21"/>
              </w:rPr>
              <w:t>课程模块</w:t>
            </w:r>
          </w:p>
        </w:tc>
        <w:tc>
          <w:tcPr>
            <w:tcW w:w="3527" w:type="dxa"/>
            <w:gridSpan w:val="3"/>
            <w:vAlign w:val="center"/>
          </w:tcPr>
          <w:p>
            <w:pPr>
              <w:widowControl/>
              <w:spacing w:line="400" w:lineRule="exact"/>
              <w:jc w:val="center"/>
              <w:rPr>
                <w:rFonts w:hAnsi="宋体"/>
                <w:kern w:val="0"/>
                <w:szCs w:val="21"/>
              </w:rPr>
            </w:pPr>
            <w:r>
              <w:rPr>
                <w:rFonts w:hint="eastAsia" w:hAnsi="宋体"/>
                <w:kern w:val="0"/>
                <w:szCs w:val="21"/>
              </w:rPr>
              <w:t>学时分布</w:t>
            </w:r>
          </w:p>
        </w:tc>
        <w:tc>
          <w:tcPr>
            <w:tcW w:w="2089" w:type="dxa"/>
            <w:gridSpan w:val="2"/>
            <w:vAlign w:val="center"/>
          </w:tcPr>
          <w:p>
            <w:pPr>
              <w:widowControl/>
              <w:spacing w:line="400" w:lineRule="exact"/>
              <w:jc w:val="center"/>
              <w:rPr>
                <w:rFonts w:hAnsi="宋体"/>
                <w:kern w:val="0"/>
                <w:szCs w:val="21"/>
              </w:rPr>
            </w:pPr>
            <w:r>
              <w:rPr>
                <w:rFonts w:hint="eastAsia" w:hAnsi="宋体"/>
                <w:kern w:val="0"/>
                <w:szCs w:val="21"/>
              </w:rPr>
              <w:t>学分分布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8" w:type="dxa"/>
            <w:gridSpan w:val="3"/>
            <w:vMerge w:val="continue"/>
            <w:vAlign w:val="center"/>
          </w:tcPr>
          <w:p>
            <w:pPr>
              <w:widowControl/>
              <w:spacing w:line="400" w:lineRule="exact"/>
              <w:jc w:val="center"/>
              <w:rPr>
                <w:rFonts w:hAnsi="宋体"/>
                <w:kern w:val="0"/>
                <w:szCs w:val="21"/>
              </w:rPr>
            </w:pPr>
          </w:p>
        </w:tc>
        <w:tc>
          <w:tcPr>
            <w:tcW w:w="941" w:type="dxa"/>
            <w:vAlign w:val="center"/>
          </w:tcPr>
          <w:p>
            <w:pPr>
              <w:widowControl/>
              <w:spacing w:line="400" w:lineRule="exact"/>
              <w:jc w:val="center"/>
              <w:rPr>
                <w:rFonts w:hAnsi="宋体"/>
                <w:kern w:val="0"/>
                <w:szCs w:val="21"/>
              </w:rPr>
            </w:pPr>
            <w:r>
              <w:rPr>
                <w:rFonts w:hint="eastAsia" w:hAnsi="宋体"/>
                <w:kern w:val="0"/>
                <w:szCs w:val="21"/>
              </w:rPr>
              <w:t>学时数</w:t>
            </w:r>
          </w:p>
        </w:tc>
        <w:tc>
          <w:tcPr>
            <w:tcW w:w="1446" w:type="dxa"/>
            <w:vAlign w:val="center"/>
          </w:tcPr>
          <w:p>
            <w:pPr>
              <w:widowControl/>
              <w:spacing w:line="400" w:lineRule="exact"/>
              <w:jc w:val="center"/>
              <w:rPr>
                <w:rFonts w:hAnsi="宋体"/>
                <w:kern w:val="0"/>
                <w:szCs w:val="21"/>
              </w:rPr>
            </w:pPr>
            <w:r>
              <w:rPr>
                <w:rFonts w:hint="eastAsia" w:hAnsi="宋体"/>
                <w:kern w:val="0"/>
                <w:szCs w:val="21"/>
              </w:rPr>
              <w:t>比例(%)</w:t>
            </w:r>
          </w:p>
        </w:tc>
        <w:tc>
          <w:tcPr>
            <w:tcW w:w="1140" w:type="dxa"/>
            <w:vAlign w:val="center"/>
          </w:tcPr>
          <w:p>
            <w:pPr>
              <w:widowControl/>
              <w:spacing w:line="400" w:lineRule="exact"/>
              <w:jc w:val="center"/>
              <w:rPr>
                <w:rFonts w:hAnsi="宋体"/>
                <w:kern w:val="0"/>
                <w:szCs w:val="21"/>
              </w:rPr>
            </w:pPr>
            <w:r>
              <w:rPr>
                <w:rFonts w:hint="eastAsia" w:hAnsi="宋体"/>
                <w:kern w:val="0"/>
                <w:szCs w:val="21"/>
              </w:rPr>
              <w:t>其中实践学时</w:t>
            </w:r>
          </w:p>
        </w:tc>
        <w:tc>
          <w:tcPr>
            <w:tcW w:w="1047" w:type="dxa"/>
            <w:vAlign w:val="center"/>
          </w:tcPr>
          <w:p>
            <w:pPr>
              <w:widowControl/>
              <w:spacing w:line="400" w:lineRule="exact"/>
              <w:jc w:val="center"/>
              <w:rPr>
                <w:rFonts w:hAnsi="宋体"/>
                <w:kern w:val="0"/>
                <w:szCs w:val="21"/>
              </w:rPr>
            </w:pPr>
            <w:r>
              <w:rPr>
                <w:rFonts w:hint="eastAsia" w:hAnsi="宋体"/>
                <w:kern w:val="0"/>
                <w:szCs w:val="21"/>
              </w:rPr>
              <w:t>学分数</w:t>
            </w:r>
          </w:p>
        </w:tc>
        <w:tc>
          <w:tcPr>
            <w:tcW w:w="1042" w:type="dxa"/>
            <w:vAlign w:val="center"/>
          </w:tcPr>
          <w:p>
            <w:pPr>
              <w:widowControl/>
              <w:spacing w:line="400" w:lineRule="exact"/>
              <w:jc w:val="center"/>
              <w:rPr>
                <w:rFonts w:hAnsi="宋体"/>
                <w:kern w:val="0"/>
                <w:szCs w:val="21"/>
              </w:rPr>
            </w:pPr>
            <w:r>
              <w:rPr>
                <w:rFonts w:hint="eastAsia" w:hAnsi="宋体"/>
                <w:kern w:val="0"/>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35" w:type="dxa"/>
            <w:gridSpan w:val="2"/>
            <w:vMerge w:val="restart"/>
            <w:vAlign w:val="center"/>
          </w:tcPr>
          <w:p>
            <w:pPr>
              <w:widowControl/>
              <w:spacing w:line="400" w:lineRule="exact"/>
              <w:jc w:val="center"/>
              <w:rPr>
                <w:kern w:val="0"/>
                <w:szCs w:val="21"/>
              </w:rPr>
            </w:pPr>
            <w:r>
              <w:rPr>
                <w:rFonts w:hint="eastAsia" w:hAnsi="宋体"/>
                <w:kern w:val="0"/>
                <w:szCs w:val="21"/>
              </w:rPr>
              <w:t>通识</w:t>
            </w:r>
            <w:r>
              <w:rPr>
                <w:rFonts w:hAnsi="宋体"/>
                <w:kern w:val="0"/>
                <w:szCs w:val="21"/>
              </w:rPr>
              <w:t>课程</w:t>
            </w:r>
          </w:p>
        </w:tc>
        <w:tc>
          <w:tcPr>
            <w:tcW w:w="823" w:type="dxa"/>
            <w:vAlign w:val="center"/>
          </w:tcPr>
          <w:p>
            <w:pPr>
              <w:widowControl/>
              <w:spacing w:line="400" w:lineRule="exact"/>
              <w:jc w:val="center"/>
              <w:rPr>
                <w:kern w:val="0"/>
                <w:szCs w:val="21"/>
              </w:rPr>
            </w:pPr>
            <w:r>
              <w:rPr>
                <w:rFonts w:hAnsi="宋体"/>
                <w:kern w:val="0"/>
                <w:szCs w:val="21"/>
              </w:rPr>
              <w:t>必修</w:t>
            </w:r>
          </w:p>
        </w:tc>
        <w:tc>
          <w:tcPr>
            <w:tcW w:w="941" w:type="dxa"/>
            <w:vAlign w:val="bottom"/>
          </w:tcPr>
          <w:p>
            <w:pPr>
              <w:widowControl/>
              <w:spacing w:line="400" w:lineRule="exact"/>
              <w:jc w:val="center"/>
              <w:rPr>
                <w:kern w:val="0"/>
                <w:szCs w:val="21"/>
              </w:rPr>
            </w:pPr>
            <w:r>
              <w:rPr>
                <w:rFonts w:hint="eastAsia"/>
                <w:kern w:val="0"/>
                <w:szCs w:val="21"/>
              </w:rPr>
              <w:t>724</w:t>
            </w:r>
          </w:p>
        </w:tc>
        <w:tc>
          <w:tcPr>
            <w:tcW w:w="1446" w:type="dxa"/>
            <w:vAlign w:val="bottom"/>
          </w:tcPr>
          <w:p>
            <w:pPr>
              <w:widowControl/>
              <w:spacing w:line="400" w:lineRule="exact"/>
              <w:jc w:val="center"/>
              <w:rPr>
                <w:kern w:val="0"/>
                <w:szCs w:val="21"/>
              </w:rPr>
            </w:pPr>
            <w:r>
              <w:rPr>
                <w:rFonts w:hint="eastAsia"/>
                <w:kern w:val="0"/>
                <w:szCs w:val="21"/>
              </w:rPr>
              <w:t>30.34%</w:t>
            </w:r>
          </w:p>
        </w:tc>
        <w:tc>
          <w:tcPr>
            <w:tcW w:w="1140" w:type="dxa"/>
            <w:vAlign w:val="bottom"/>
          </w:tcPr>
          <w:p>
            <w:pPr>
              <w:widowControl/>
              <w:spacing w:line="400" w:lineRule="exact"/>
              <w:jc w:val="center"/>
              <w:rPr>
                <w:kern w:val="0"/>
                <w:szCs w:val="21"/>
              </w:rPr>
            </w:pPr>
            <w:r>
              <w:rPr>
                <w:rFonts w:hint="eastAsia"/>
                <w:kern w:val="0"/>
                <w:szCs w:val="21"/>
              </w:rPr>
              <w:t>294</w:t>
            </w:r>
          </w:p>
        </w:tc>
        <w:tc>
          <w:tcPr>
            <w:tcW w:w="1047" w:type="dxa"/>
            <w:vAlign w:val="bottom"/>
          </w:tcPr>
          <w:p>
            <w:pPr>
              <w:widowControl/>
              <w:spacing w:line="400" w:lineRule="exact"/>
              <w:jc w:val="center"/>
              <w:rPr>
                <w:kern w:val="0"/>
                <w:szCs w:val="21"/>
              </w:rPr>
            </w:pPr>
            <w:r>
              <w:rPr>
                <w:rFonts w:hint="eastAsia"/>
                <w:kern w:val="0"/>
                <w:szCs w:val="21"/>
              </w:rPr>
              <w:t>39</w:t>
            </w:r>
          </w:p>
        </w:tc>
        <w:tc>
          <w:tcPr>
            <w:tcW w:w="1042" w:type="dxa"/>
            <w:vAlign w:val="bottom"/>
          </w:tcPr>
          <w:p>
            <w:pPr>
              <w:widowControl/>
              <w:spacing w:line="400" w:lineRule="exact"/>
              <w:jc w:val="center"/>
              <w:rPr>
                <w:kern w:val="0"/>
                <w:szCs w:val="21"/>
              </w:rPr>
            </w:pPr>
            <w:r>
              <w:rPr>
                <w:rFonts w:hint="eastAsia"/>
                <w:kern w:val="0"/>
                <w:szCs w:val="21"/>
              </w:rPr>
              <w:t>24.38%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35" w:type="dxa"/>
            <w:gridSpan w:val="2"/>
            <w:vMerge w:val="continue"/>
            <w:vAlign w:val="center"/>
          </w:tcPr>
          <w:p>
            <w:pPr>
              <w:widowControl/>
              <w:spacing w:line="400" w:lineRule="exact"/>
              <w:jc w:val="center"/>
              <w:rPr>
                <w:kern w:val="0"/>
                <w:szCs w:val="21"/>
              </w:rPr>
            </w:pPr>
          </w:p>
        </w:tc>
        <w:tc>
          <w:tcPr>
            <w:tcW w:w="823" w:type="dxa"/>
            <w:vAlign w:val="center"/>
          </w:tcPr>
          <w:p>
            <w:pPr>
              <w:widowControl/>
              <w:spacing w:line="400" w:lineRule="exact"/>
              <w:jc w:val="center"/>
              <w:rPr>
                <w:kern w:val="0"/>
                <w:szCs w:val="21"/>
              </w:rPr>
            </w:pPr>
            <w:r>
              <w:rPr>
                <w:rFonts w:hAnsi="宋体"/>
                <w:kern w:val="0"/>
                <w:szCs w:val="21"/>
              </w:rPr>
              <w:t>选修</w:t>
            </w:r>
          </w:p>
        </w:tc>
        <w:tc>
          <w:tcPr>
            <w:tcW w:w="941" w:type="dxa"/>
            <w:vAlign w:val="bottom"/>
          </w:tcPr>
          <w:p>
            <w:pPr>
              <w:widowControl/>
              <w:spacing w:line="400" w:lineRule="exact"/>
              <w:jc w:val="center"/>
              <w:rPr>
                <w:kern w:val="0"/>
                <w:szCs w:val="21"/>
              </w:rPr>
            </w:pPr>
            <w:r>
              <w:rPr>
                <w:rFonts w:hint="eastAsia"/>
                <w:kern w:val="0"/>
                <w:szCs w:val="21"/>
              </w:rPr>
              <w:t>144</w:t>
            </w:r>
          </w:p>
        </w:tc>
        <w:tc>
          <w:tcPr>
            <w:tcW w:w="1446" w:type="dxa"/>
            <w:vAlign w:val="bottom"/>
          </w:tcPr>
          <w:p>
            <w:pPr>
              <w:widowControl/>
              <w:spacing w:line="400" w:lineRule="exact"/>
              <w:jc w:val="center"/>
              <w:rPr>
                <w:kern w:val="0"/>
                <w:szCs w:val="21"/>
              </w:rPr>
            </w:pPr>
            <w:r>
              <w:rPr>
                <w:rFonts w:hint="eastAsia"/>
                <w:kern w:val="0"/>
                <w:szCs w:val="21"/>
              </w:rPr>
              <w:t>6.04%</w:t>
            </w:r>
          </w:p>
        </w:tc>
        <w:tc>
          <w:tcPr>
            <w:tcW w:w="1140" w:type="dxa"/>
            <w:vAlign w:val="bottom"/>
          </w:tcPr>
          <w:p>
            <w:pPr>
              <w:widowControl/>
              <w:spacing w:line="400" w:lineRule="exact"/>
              <w:jc w:val="center"/>
              <w:rPr>
                <w:kern w:val="0"/>
                <w:szCs w:val="21"/>
              </w:rPr>
            </w:pPr>
            <w:r>
              <w:rPr>
                <w:rFonts w:hint="eastAsia"/>
                <w:kern w:val="0"/>
                <w:szCs w:val="21"/>
              </w:rPr>
              <w:t>0</w:t>
            </w:r>
          </w:p>
        </w:tc>
        <w:tc>
          <w:tcPr>
            <w:tcW w:w="1047" w:type="dxa"/>
            <w:vAlign w:val="bottom"/>
          </w:tcPr>
          <w:p>
            <w:pPr>
              <w:widowControl/>
              <w:spacing w:line="400" w:lineRule="exact"/>
              <w:jc w:val="center"/>
              <w:rPr>
                <w:kern w:val="0"/>
                <w:szCs w:val="21"/>
              </w:rPr>
            </w:pPr>
            <w:r>
              <w:rPr>
                <w:rFonts w:hint="eastAsia"/>
                <w:kern w:val="0"/>
                <w:szCs w:val="21"/>
              </w:rPr>
              <w:t>9</w:t>
            </w:r>
          </w:p>
        </w:tc>
        <w:tc>
          <w:tcPr>
            <w:tcW w:w="1042" w:type="dxa"/>
            <w:vAlign w:val="bottom"/>
          </w:tcPr>
          <w:p>
            <w:pPr>
              <w:widowControl/>
              <w:spacing w:line="400" w:lineRule="exact"/>
              <w:jc w:val="center"/>
              <w:rPr>
                <w:kern w:val="0"/>
                <w:szCs w:val="21"/>
              </w:rPr>
            </w:pPr>
            <w:r>
              <w:rPr>
                <w:rFonts w:hint="eastAsia"/>
                <w:kern w:val="0"/>
                <w:szCs w:val="21"/>
              </w:rPr>
              <w:t>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35" w:type="dxa"/>
            <w:gridSpan w:val="2"/>
            <w:vAlign w:val="center"/>
          </w:tcPr>
          <w:p>
            <w:pPr>
              <w:widowControl/>
              <w:spacing w:line="400" w:lineRule="exact"/>
              <w:jc w:val="center"/>
              <w:rPr>
                <w:kern w:val="0"/>
                <w:szCs w:val="21"/>
              </w:rPr>
            </w:pPr>
            <w:r>
              <w:rPr>
                <w:rFonts w:hAnsi="宋体"/>
                <w:kern w:val="0"/>
                <w:szCs w:val="21"/>
              </w:rPr>
              <w:t>学科基础课程</w:t>
            </w:r>
          </w:p>
        </w:tc>
        <w:tc>
          <w:tcPr>
            <w:tcW w:w="823" w:type="dxa"/>
            <w:vAlign w:val="center"/>
          </w:tcPr>
          <w:p>
            <w:pPr>
              <w:widowControl/>
              <w:spacing w:line="400" w:lineRule="exact"/>
              <w:jc w:val="center"/>
              <w:rPr>
                <w:kern w:val="0"/>
                <w:szCs w:val="21"/>
              </w:rPr>
            </w:pPr>
            <w:r>
              <w:rPr>
                <w:rFonts w:hAnsi="宋体"/>
                <w:kern w:val="0"/>
                <w:szCs w:val="21"/>
              </w:rPr>
              <w:t>必修</w:t>
            </w:r>
          </w:p>
        </w:tc>
        <w:tc>
          <w:tcPr>
            <w:tcW w:w="941" w:type="dxa"/>
            <w:vAlign w:val="bottom"/>
          </w:tcPr>
          <w:p>
            <w:pPr>
              <w:widowControl/>
              <w:spacing w:line="400" w:lineRule="exact"/>
              <w:jc w:val="center"/>
              <w:rPr>
                <w:kern w:val="0"/>
                <w:szCs w:val="21"/>
              </w:rPr>
            </w:pPr>
            <w:r>
              <w:rPr>
                <w:rFonts w:hint="eastAsia"/>
                <w:kern w:val="0"/>
                <w:szCs w:val="21"/>
              </w:rPr>
              <w:t>638</w:t>
            </w:r>
          </w:p>
        </w:tc>
        <w:tc>
          <w:tcPr>
            <w:tcW w:w="1446" w:type="dxa"/>
            <w:vAlign w:val="bottom"/>
          </w:tcPr>
          <w:p>
            <w:pPr>
              <w:widowControl/>
              <w:spacing w:line="400" w:lineRule="exact"/>
              <w:jc w:val="center"/>
              <w:rPr>
                <w:kern w:val="0"/>
                <w:szCs w:val="21"/>
              </w:rPr>
            </w:pPr>
            <w:r>
              <w:rPr>
                <w:rFonts w:hint="eastAsia"/>
                <w:kern w:val="0"/>
                <w:szCs w:val="21"/>
              </w:rPr>
              <w:t>26.74%</w:t>
            </w:r>
          </w:p>
        </w:tc>
        <w:tc>
          <w:tcPr>
            <w:tcW w:w="1140" w:type="dxa"/>
            <w:vAlign w:val="bottom"/>
          </w:tcPr>
          <w:p>
            <w:pPr>
              <w:widowControl/>
              <w:spacing w:line="400" w:lineRule="exact"/>
              <w:jc w:val="center"/>
              <w:rPr>
                <w:kern w:val="0"/>
                <w:szCs w:val="21"/>
              </w:rPr>
            </w:pPr>
            <w:r>
              <w:rPr>
                <w:rFonts w:hint="eastAsia"/>
                <w:kern w:val="0"/>
                <w:szCs w:val="21"/>
              </w:rPr>
              <w:t>132</w:t>
            </w:r>
          </w:p>
        </w:tc>
        <w:tc>
          <w:tcPr>
            <w:tcW w:w="1047" w:type="dxa"/>
            <w:vAlign w:val="bottom"/>
          </w:tcPr>
          <w:p>
            <w:pPr>
              <w:widowControl/>
              <w:spacing w:line="400" w:lineRule="exact"/>
              <w:jc w:val="center"/>
              <w:rPr>
                <w:kern w:val="0"/>
                <w:szCs w:val="21"/>
              </w:rPr>
            </w:pPr>
            <w:r>
              <w:rPr>
                <w:rFonts w:hint="eastAsia"/>
                <w:kern w:val="0"/>
                <w:szCs w:val="21"/>
              </w:rPr>
              <w:t>37</w:t>
            </w:r>
          </w:p>
        </w:tc>
        <w:tc>
          <w:tcPr>
            <w:tcW w:w="1042" w:type="dxa"/>
            <w:vAlign w:val="bottom"/>
          </w:tcPr>
          <w:p>
            <w:pPr>
              <w:widowControl/>
              <w:spacing w:line="400" w:lineRule="exact"/>
              <w:jc w:val="center"/>
              <w:rPr>
                <w:kern w:val="0"/>
                <w:szCs w:val="21"/>
              </w:rPr>
            </w:pPr>
            <w:r>
              <w:rPr>
                <w:rFonts w:hint="eastAsia"/>
                <w:kern w:val="0"/>
                <w:szCs w:val="21"/>
              </w:rPr>
              <w:t>23.13%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35" w:type="dxa"/>
            <w:gridSpan w:val="2"/>
            <w:vMerge w:val="restart"/>
            <w:vAlign w:val="center"/>
          </w:tcPr>
          <w:p>
            <w:pPr>
              <w:widowControl/>
              <w:spacing w:line="400" w:lineRule="exact"/>
              <w:jc w:val="center"/>
              <w:rPr>
                <w:rFonts w:hAnsi="宋体"/>
                <w:kern w:val="0"/>
                <w:szCs w:val="21"/>
              </w:rPr>
            </w:pPr>
            <w:r>
              <w:rPr>
                <w:rFonts w:hAnsi="宋体"/>
                <w:kern w:val="0"/>
                <w:szCs w:val="21"/>
              </w:rPr>
              <w:t>专业课程</w:t>
            </w:r>
          </w:p>
        </w:tc>
        <w:tc>
          <w:tcPr>
            <w:tcW w:w="823" w:type="dxa"/>
            <w:vAlign w:val="center"/>
          </w:tcPr>
          <w:p>
            <w:pPr>
              <w:widowControl/>
              <w:spacing w:line="400" w:lineRule="exact"/>
              <w:jc w:val="center"/>
              <w:rPr>
                <w:rFonts w:hAnsi="宋体"/>
                <w:kern w:val="0"/>
                <w:szCs w:val="21"/>
              </w:rPr>
            </w:pPr>
            <w:r>
              <w:rPr>
                <w:rFonts w:hAnsi="宋体"/>
                <w:kern w:val="0"/>
                <w:szCs w:val="21"/>
              </w:rPr>
              <w:t>必修</w:t>
            </w:r>
          </w:p>
        </w:tc>
        <w:tc>
          <w:tcPr>
            <w:tcW w:w="941" w:type="dxa"/>
            <w:vAlign w:val="bottom"/>
          </w:tcPr>
          <w:p>
            <w:pPr>
              <w:widowControl/>
              <w:spacing w:line="400" w:lineRule="exact"/>
              <w:jc w:val="center"/>
              <w:rPr>
                <w:kern w:val="0"/>
                <w:szCs w:val="21"/>
              </w:rPr>
            </w:pPr>
            <w:r>
              <w:rPr>
                <w:rFonts w:hint="eastAsia"/>
                <w:kern w:val="0"/>
                <w:szCs w:val="21"/>
              </w:rPr>
              <w:t>400</w:t>
            </w:r>
          </w:p>
        </w:tc>
        <w:tc>
          <w:tcPr>
            <w:tcW w:w="1446" w:type="dxa"/>
            <w:vAlign w:val="bottom"/>
          </w:tcPr>
          <w:p>
            <w:pPr>
              <w:widowControl/>
              <w:spacing w:line="400" w:lineRule="exact"/>
              <w:jc w:val="center"/>
              <w:rPr>
                <w:kern w:val="0"/>
                <w:szCs w:val="21"/>
              </w:rPr>
            </w:pPr>
            <w:r>
              <w:rPr>
                <w:rFonts w:hint="eastAsia"/>
                <w:kern w:val="0"/>
                <w:szCs w:val="21"/>
              </w:rPr>
              <w:t>16.76%</w:t>
            </w:r>
          </w:p>
        </w:tc>
        <w:tc>
          <w:tcPr>
            <w:tcW w:w="1140" w:type="dxa"/>
            <w:vAlign w:val="bottom"/>
          </w:tcPr>
          <w:p>
            <w:pPr>
              <w:widowControl/>
              <w:spacing w:line="400" w:lineRule="exact"/>
              <w:jc w:val="center"/>
              <w:rPr>
                <w:kern w:val="0"/>
                <w:szCs w:val="21"/>
              </w:rPr>
            </w:pPr>
            <w:r>
              <w:rPr>
                <w:rFonts w:hint="eastAsia"/>
                <w:kern w:val="0"/>
                <w:szCs w:val="21"/>
              </w:rPr>
              <w:t>154</w:t>
            </w:r>
          </w:p>
        </w:tc>
        <w:tc>
          <w:tcPr>
            <w:tcW w:w="1047" w:type="dxa"/>
            <w:vAlign w:val="bottom"/>
          </w:tcPr>
          <w:p>
            <w:pPr>
              <w:widowControl/>
              <w:spacing w:line="400" w:lineRule="exact"/>
              <w:jc w:val="center"/>
              <w:rPr>
                <w:kern w:val="0"/>
                <w:szCs w:val="21"/>
              </w:rPr>
            </w:pPr>
            <w:r>
              <w:rPr>
                <w:rFonts w:hint="eastAsia"/>
                <w:kern w:val="0"/>
                <w:szCs w:val="21"/>
              </w:rPr>
              <w:t>20</w:t>
            </w:r>
          </w:p>
        </w:tc>
        <w:tc>
          <w:tcPr>
            <w:tcW w:w="1042" w:type="dxa"/>
            <w:vAlign w:val="bottom"/>
          </w:tcPr>
          <w:p>
            <w:pPr>
              <w:widowControl/>
              <w:spacing w:line="400" w:lineRule="exact"/>
              <w:jc w:val="center"/>
              <w:rPr>
                <w:kern w:val="0"/>
                <w:szCs w:val="21"/>
              </w:rPr>
            </w:pPr>
            <w:r>
              <w:rPr>
                <w:rFonts w:hint="eastAsia"/>
                <w:kern w:val="0"/>
                <w:szCs w:val="21"/>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35" w:type="dxa"/>
            <w:gridSpan w:val="2"/>
            <w:vMerge w:val="continue"/>
            <w:vAlign w:val="center"/>
          </w:tcPr>
          <w:p>
            <w:pPr>
              <w:widowControl/>
              <w:spacing w:line="400" w:lineRule="exact"/>
              <w:jc w:val="center"/>
              <w:rPr>
                <w:rFonts w:hAnsi="宋体"/>
                <w:kern w:val="0"/>
                <w:szCs w:val="21"/>
              </w:rPr>
            </w:pPr>
          </w:p>
        </w:tc>
        <w:tc>
          <w:tcPr>
            <w:tcW w:w="823" w:type="dxa"/>
            <w:vAlign w:val="center"/>
          </w:tcPr>
          <w:p>
            <w:pPr>
              <w:widowControl/>
              <w:spacing w:line="400" w:lineRule="exact"/>
              <w:jc w:val="center"/>
              <w:rPr>
                <w:rFonts w:hAnsi="宋体"/>
                <w:kern w:val="0"/>
                <w:szCs w:val="21"/>
              </w:rPr>
            </w:pPr>
            <w:r>
              <w:rPr>
                <w:rFonts w:hAnsi="宋体"/>
                <w:kern w:val="0"/>
                <w:szCs w:val="21"/>
              </w:rPr>
              <w:t>选修</w:t>
            </w:r>
          </w:p>
        </w:tc>
        <w:tc>
          <w:tcPr>
            <w:tcW w:w="941" w:type="dxa"/>
            <w:vAlign w:val="bottom"/>
          </w:tcPr>
          <w:p>
            <w:pPr>
              <w:widowControl/>
              <w:spacing w:line="400" w:lineRule="exact"/>
              <w:jc w:val="center"/>
              <w:rPr>
                <w:kern w:val="0"/>
                <w:szCs w:val="21"/>
              </w:rPr>
            </w:pPr>
            <w:r>
              <w:rPr>
                <w:rFonts w:hint="eastAsia"/>
                <w:kern w:val="0"/>
                <w:szCs w:val="21"/>
              </w:rPr>
              <w:t>480</w:t>
            </w:r>
          </w:p>
        </w:tc>
        <w:tc>
          <w:tcPr>
            <w:tcW w:w="1446" w:type="dxa"/>
            <w:vAlign w:val="bottom"/>
          </w:tcPr>
          <w:p>
            <w:pPr>
              <w:widowControl/>
              <w:spacing w:line="400" w:lineRule="exact"/>
              <w:jc w:val="center"/>
              <w:rPr>
                <w:kern w:val="0"/>
                <w:szCs w:val="21"/>
              </w:rPr>
            </w:pPr>
            <w:r>
              <w:rPr>
                <w:rFonts w:hint="eastAsia"/>
                <w:kern w:val="0"/>
                <w:szCs w:val="21"/>
              </w:rPr>
              <w:t>20.12%</w:t>
            </w:r>
          </w:p>
        </w:tc>
        <w:tc>
          <w:tcPr>
            <w:tcW w:w="1140" w:type="dxa"/>
            <w:vAlign w:val="bottom"/>
          </w:tcPr>
          <w:p>
            <w:pPr>
              <w:widowControl/>
              <w:spacing w:line="400" w:lineRule="exact"/>
              <w:jc w:val="center"/>
              <w:rPr>
                <w:kern w:val="0"/>
                <w:szCs w:val="21"/>
              </w:rPr>
            </w:pPr>
            <w:r>
              <w:rPr>
                <w:rFonts w:hint="eastAsia"/>
                <w:kern w:val="0"/>
                <w:szCs w:val="21"/>
              </w:rPr>
              <w:t>300</w:t>
            </w:r>
          </w:p>
        </w:tc>
        <w:tc>
          <w:tcPr>
            <w:tcW w:w="1047" w:type="dxa"/>
            <w:vAlign w:val="bottom"/>
          </w:tcPr>
          <w:p>
            <w:pPr>
              <w:widowControl/>
              <w:spacing w:line="400" w:lineRule="exact"/>
              <w:jc w:val="center"/>
              <w:rPr>
                <w:kern w:val="0"/>
                <w:szCs w:val="21"/>
              </w:rPr>
            </w:pPr>
            <w:r>
              <w:rPr>
                <w:rFonts w:hint="eastAsia"/>
                <w:kern w:val="0"/>
                <w:szCs w:val="21"/>
              </w:rPr>
              <w:t>30</w:t>
            </w:r>
          </w:p>
        </w:tc>
        <w:tc>
          <w:tcPr>
            <w:tcW w:w="1042" w:type="dxa"/>
            <w:vAlign w:val="bottom"/>
          </w:tcPr>
          <w:p>
            <w:pPr>
              <w:widowControl/>
              <w:spacing w:line="400" w:lineRule="exact"/>
              <w:jc w:val="center"/>
              <w:rPr>
                <w:kern w:val="0"/>
                <w:szCs w:val="21"/>
              </w:rPr>
            </w:pPr>
            <w:r>
              <w:rPr>
                <w:rFonts w:hint="eastAsia"/>
                <w:kern w:val="0"/>
                <w:szCs w:val="21"/>
              </w:rPr>
              <w:t>18.75%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vAlign w:val="center"/>
          </w:tcPr>
          <w:p>
            <w:pPr>
              <w:widowControl/>
              <w:spacing w:line="400" w:lineRule="exact"/>
              <w:jc w:val="center"/>
              <w:rPr>
                <w:kern w:val="0"/>
                <w:szCs w:val="21"/>
              </w:rPr>
            </w:pPr>
            <w:r>
              <w:rPr>
                <w:rFonts w:hint="eastAsia"/>
                <w:kern w:val="0"/>
                <w:szCs w:val="21"/>
              </w:rPr>
              <w:t>集中实践课程</w:t>
            </w:r>
          </w:p>
        </w:tc>
        <w:tc>
          <w:tcPr>
            <w:tcW w:w="2087" w:type="dxa"/>
            <w:vAlign w:val="center"/>
          </w:tcPr>
          <w:p>
            <w:pPr>
              <w:widowControl/>
              <w:spacing w:line="400" w:lineRule="exact"/>
              <w:jc w:val="left"/>
              <w:rPr>
                <w:kern w:val="0"/>
                <w:szCs w:val="21"/>
              </w:rPr>
            </w:pPr>
            <w:r>
              <w:rPr>
                <w:rFonts w:hAnsi="宋体"/>
                <w:b/>
                <w:bCs/>
                <w:kern w:val="0"/>
                <w:szCs w:val="21"/>
              </w:rPr>
              <w:t>军事训练、</w:t>
            </w:r>
            <w:r>
              <w:rPr>
                <w:rFonts w:hint="eastAsia"/>
                <w:szCs w:val="21"/>
              </w:rPr>
              <w:t>毕业实习、毕业设计（论文）、课程设计（实践）、学年设计（论文）等。</w:t>
            </w:r>
          </w:p>
        </w:tc>
        <w:tc>
          <w:tcPr>
            <w:tcW w:w="823" w:type="dxa"/>
            <w:vAlign w:val="center"/>
          </w:tcPr>
          <w:p>
            <w:pPr>
              <w:widowControl/>
              <w:spacing w:line="400" w:lineRule="exact"/>
              <w:jc w:val="center"/>
              <w:rPr>
                <w:kern w:val="0"/>
                <w:szCs w:val="21"/>
              </w:rPr>
            </w:pPr>
            <w:r>
              <w:rPr>
                <w:rFonts w:hint="eastAsia"/>
                <w:kern w:val="0"/>
                <w:szCs w:val="21"/>
              </w:rPr>
              <w:t>必修</w:t>
            </w:r>
          </w:p>
        </w:tc>
        <w:tc>
          <w:tcPr>
            <w:tcW w:w="941" w:type="dxa"/>
            <w:vAlign w:val="center"/>
          </w:tcPr>
          <w:p>
            <w:pPr>
              <w:widowControl/>
              <w:spacing w:line="400" w:lineRule="exact"/>
              <w:jc w:val="center"/>
              <w:rPr>
                <w:kern w:val="0"/>
                <w:szCs w:val="21"/>
              </w:rPr>
            </w:pPr>
            <w:r>
              <w:rPr>
                <w:rFonts w:hint="eastAsia"/>
                <w:kern w:val="0"/>
                <w:szCs w:val="21"/>
              </w:rPr>
              <w:t>37周</w:t>
            </w:r>
          </w:p>
        </w:tc>
        <w:tc>
          <w:tcPr>
            <w:tcW w:w="1446" w:type="dxa"/>
            <w:vAlign w:val="center"/>
          </w:tcPr>
          <w:p>
            <w:pPr>
              <w:widowControl/>
              <w:spacing w:line="400" w:lineRule="exact"/>
              <w:jc w:val="center"/>
              <w:rPr>
                <w:kern w:val="0"/>
                <w:szCs w:val="21"/>
              </w:rPr>
            </w:pPr>
          </w:p>
        </w:tc>
        <w:tc>
          <w:tcPr>
            <w:tcW w:w="1140" w:type="dxa"/>
            <w:vAlign w:val="center"/>
          </w:tcPr>
          <w:p>
            <w:pPr>
              <w:widowControl/>
              <w:spacing w:line="400" w:lineRule="exact"/>
              <w:rPr>
                <w:kern w:val="0"/>
                <w:szCs w:val="21"/>
              </w:rPr>
            </w:pPr>
          </w:p>
        </w:tc>
        <w:tc>
          <w:tcPr>
            <w:tcW w:w="1047" w:type="dxa"/>
            <w:vAlign w:val="center"/>
          </w:tcPr>
          <w:p>
            <w:pPr>
              <w:widowControl/>
              <w:spacing w:line="400" w:lineRule="exact"/>
              <w:jc w:val="center"/>
              <w:rPr>
                <w:kern w:val="0"/>
                <w:szCs w:val="21"/>
              </w:rPr>
            </w:pPr>
            <w:r>
              <w:rPr>
                <w:rFonts w:hint="eastAsia"/>
                <w:kern w:val="0"/>
                <w:szCs w:val="21"/>
              </w:rPr>
              <w:t>25</w:t>
            </w:r>
          </w:p>
        </w:tc>
        <w:tc>
          <w:tcPr>
            <w:tcW w:w="1042" w:type="dxa"/>
            <w:vAlign w:val="center"/>
          </w:tcPr>
          <w:p>
            <w:pPr>
              <w:widowControl/>
              <w:spacing w:line="400" w:lineRule="exact"/>
              <w:jc w:val="center"/>
              <w:rPr>
                <w:kern w:val="0"/>
                <w:szCs w:val="21"/>
              </w:rPr>
            </w:pPr>
            <w:r>
              <w:rPr>
                <w:rFonts w:hint="eastAsia"/>
                <w:kern w:val="0"/>
                <w:szCs w:val="21"/>
              </w:rPr>
              <w:t>15.63%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8" w:type="dxa"/>
            <w:gridSpan w:val="3"/>
            <w:vMerge w:val="restart"/>
            <w:vAlign w:val="center"/>
          </w:tcPr>
          <w:p>
            <w:pPr>
              <w:spacing w:line="400" w:lineRule="exact"/>
              <w:jc w:val="center"/>
              <w:rPr>
                <w:rFonts w:hAnsi="宋体"/>
                <w:kern w:val="0"/>
                <w:szCs w:val="21"/>
              </w:rPr>
            </w:pPr>
            <w:r>
              <w:rPr>
                <w:rFonts w:hint="eastAsia" w:hAnsi="宋体"/>
                <w:kern w:val="0"/>
                <w:szCs w:val="21"/>
              </w:rPr>
              <w:t>总计</w:t>
            </w:r>
          </w:p>
        </w:tc>
        <w:tc>
          <w:tcPr>
            <w:tcW w:w="2387" w:type="dxa"/>
            <w:gridSpan w:val="2"/>
            <w:vAlign w:val="center"/>
          </w:tcPr>
          <w:p>
            <w:pPr>
              <w:spacing w:line="400" w:lineRule="exact"/>
              <w:jc w:val="left"/>
              <w:rPr>
                <w:rFonts w:hAnsi="宋体"/>
                <w:kern w:val="0"/>
                <w:szCs w:val="21"/>
              </w:rPr>
            </w:pPr>
            <w:r>
              <w:rPr>
                <w:rFonts w:hint="eastAsia" w:hAnsi="宋体"/>
                <w:kern w:val="0"/>
                <w:szCs w:val="21"/>
              </w:rPr>
              <w:t>课内总学时：2386</w:t>
            </w:r>
          </w:p>
          <w:p>
            <w:pPr>
              <w:spacing w:line="400" w:lineRule="exact"/>
              <w:jc w:val="left"/>
              <w:rPr>
                <w:rFonts w:hAnsi="宋体"/>
                <w:kern w:val="0"/>
                <w:szCs w:val="21"/>
              </w:rPr>
            </w:pPr>
            <w:r>
              <w:rPr>
                <w:rFonts w:hint="eastAsia" w:hAnsi="宋体"/>
                <w:b/>
                <w:bCs/>
                <w:kern w:val="0"/>
                <w:szCs w:val="21"/>
              </w:rPr>
              <w:t>选修</w:t>
            </w:r>
            <w:r>
              <w:rPr>
                <w:rFonts w:hint="eastAsia" w:hAnsi="宋体"/>
                <w:kern w:val="0"/>
                <w:szCs w:val="21"/>
              </w:rPr>
              <w:t>学时：624</w:t>
            </w:r>
          </w:p>
          <w:p>
            <w:pPr>
              <w:spacing w:line="400" w:lineRule="exact"/>
              <w:rPr>
                <w:rFonts w:hAnsi="宋体"/>
                <w:kern w:val="0"/>
                <w:szCs w:val="21"/>
              </w:rPr>
            </w:pPr>
            <w:r>
              <w:rPr>
                <w:rFonts w:hint="eastAsia" w:hAnsi="宋体"/>
                <w:kern w:val="0"/>
                <w:szCs w:val="21"/>
              </w:rPr>
              <w:t>所占比例：26.15%</w:t>
            </w:r>
          </w:p>
        </w:tc>
        <w:tc>
          <w:tcPr>
            <w:tcW w:w="3229" w:type="dxa"/>
            <w:gridSpan w:val="3"/>
            <w:vAlign w:val="center"/>
          </w:tcPr>
          <w:p>
            <w:pPr>
              <w:spacing w:line="400" w:lineRule="exact"/>
              <w:jc w:val="left"/>
              <w:rPr>
                <w:rFonts w:hAnsi="宋体"/>
                <w:kern w:val="0"/>
                <w:szCs w:val="21"/>
              </w:rPr>
            </w:pPr>
            <w:r>
              <w:rPr>
                <w:rFonts w:hint="eastAsia" w:hAnsi="宋体"/>
                <w:kern w:val="0"/>
                <w:szCs w:val="21"/>
              </w:rPr>
              <w:t>总学分：160</w:t>
            </w:r>
          </w:p>
          <w:p>
            <w:pPr>
              <w:widowControl/>
              <w:spacing w:line="400" w:lineRule="exact"/>
              <w:rPr>
                <w:kern w:val="0"/>
                <w:szCs w:val="21"/>
              </w:rPr>
            </w:pPr>
            <w:r>
              <w:rPr>
                <w:rFonts w:hint="eastAsia" w:hAnsi="宋体"/>
                <w:b/>
                <w:bCs/>
                <w:kern w:val="0"/>
                <w:szCs w:val="21"/>
              </w:rPr>
              <w:t>选</w:t>
            </w:r>
            <w:r>
              <w:rPr>
                <w:rFonts w:hAnsi="宋体"/>
                <w:b/>
                <w:bCs/>
                <w:kern w:val="0"/>
                <w:szCs w:val="21"/>
              </w:rPr>
              <w:t>修</w:t>
            </w:r>
            <w:r>
              <w:rPr>
                <w:rFonts w:hAnsi="宋体"/>
                <w:kern w:val="0"/>
                <w:szCs w:val="21"/>
              </w:rPr>
              <w:t>学分：</w:t>
            </w:r>
            <w:r>
              <w:rPr>
                <w:rFonts w:hint="eastAsia"/>
                <w:kern w:val="0"/>
                <w:szCs w:val="21"/>
              </w:rPr>
              <w:t>39</w:t>
            </w:r>
            <w:r>
              <w:rPr>
                <w:rFonts w:hAnsi="宋体"/>
                <w:kern w:val="0"/>
                <w:szCs w:val="21"/>
              </w:rPr>
              <w:t>所占比例：</w:t>
            </w:r>
            <w:r>
              <w:rPr>
                <w:rFonts w:hint="eastAsia"/>
                <w:kern w:val="0"/>
                <w:szCs w:val="21"/>
              </w:rPr>
              <w:t>24.38</w:t>
            </w:r>
            <w:r>
              <w:rPr>
                <w:kern w:val="0"/>
                <w:szCs w:val="21"/>
              </w:rPr>
              <w:t>%</w:t>
            </w:r>
          </w:p>
          <w:p>
            <w:pPr>
              <w:widowControl/>
              <w:spacing w:line="400" w:lineRule="exact"/>
              <w:rPr>
                <w:rFonts w:hAnsi="宋体"/>
                <w:kern w:val="0"/>
                <w:szCs w:val="21"/>
              </w:rPr>
            </w:pPr>
            <w:r>
              <w:rPr>
                <w:rFonts w:hint="eastAsia"/>
                <w:kern w:val="0"/>
                <w:szCs w:val="21"/>
              </w:rPr>
              <w:t>实践学分：55所占比例：34.38%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58" w:type="dxa"/>
            <w:gridSpan w:val="3"/>
            <w:vMerge w:val="continue"/>
            <w:vAlign w:val="center"/>
          </w:tcPr>
          <w:p>
            <w:pPr>
              <w:spacing w:line="400" w:lineRule="exact"/>
              <w:jc w:val="center"/>
              <w:rPr>
                <w:rFonts w:hAnsi="宋体"/>
                <w:kern w:val="0"/>
                <w:szCs w:val="21"/>
              </w:rPr>
            </w:pPr>
          </w:p>
        </w:tc>
        <w:tc>
          <w:tcPr>
            <w:tcW w:w="5616" w:type="dxa"/>
            <w:gridSpan w:val="5"/>
            <w:vAlign w:val="center"/>
          </w:tcPr>
          <w:p>
            <w:pPr>
              <w:spacing w:line="400" w:lineRule="exact"/>
              <w:rPr>
                <w:rFonts w:hAnsi="宋体"/>
                <w:b/>
                <w:bCs/>
                <w:kern w:val="0"/>
                <w:szCs w:val="21"/>
              </w:rPr>
            </w:pPr>
            <w:r>
              <w:rPr>
                <w:rFonts w:hint="eastAsia" w:hAnsi="宋体"/>
                <w:b/>
                <w:bCs/>
                <w:kern w:val="0"/>
                <w:szCs w:val="21"/>
              </w:rPr>
              <w:t>核心课程：     10      门；合计学分：26</w:t>
            </w:r>
          </w:p>
          <w:p>
            <w:pPr>
              <w:spacing w:line="400" w:lineRule="exact"/>
              <w:rPr>
                <w:rFonts w:hAnsi="宋体"/>
                <w:kern w:val="0"/>
                <w:szCs w:val="21"/>
              </w:rPr>
            </w:pPr>
            <w:r>
              <w:rPr>
                <w:rFonts w:hint="eastAsia" w:hAnsi="宋体"/>
                <w:b/>
                <w:bCs/>
                <w:kern w:val="0"/>
                <w:szCs w:val="21"/>
              </w:rPr>
              <w:t>与行业、企业联合开发课程：5门；合计学分：10.5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8" w:type="dxa"/>
            <w:vAlign w:val="center"/>
          </w:tcPr>
          <w:p>
            <w:pPr>
              <w:widowControl/>
              <w:spacing w:line="400" w:lineRule="exact"/>
              <w:jc w:val="center"/>
              <w:rPr>
                <w:b/>
                <w:bCs/>
                <w:kern w:val="0"/>
                <w:szCs w:val="21"/>
              </w:rPr>
            </w:pPr>
            <w:r>
              <w:rPr>
                <w:rFonts w:hint="eastAsia"/>
                <w:b/>
                <w:bCs/>
                <w:kern w:val="0"/>
                <w:szCs w:val="21"/>
              </w:rPr>
              <w:t>素质拓展课程</w:t>
            </w:r>
          </w:p>
        </w:tc>
        <w:tc>
          <w:tcPr>
            <w:tcW w:w="2087" w:type="dxa"/>
            <w:vAlign w:val="center"/>
          </w:tcPr>
          <w:p>
            <w:pPr>
              <w:widowControl/>
              <w:spacing w:line="400" w:lineRule="exact"/>
              <w:jc w:val="left"/>
              <w:rPr>
                <w:rFonts w:hAnsi="宋体"/>
                <w:b/>
                <w:bCs/>
                <w:kern w:val="0"/>
                <w:szCs w:val="21"/>
              </w:rPr>
            </w:pPr>
            <w:r>
              <w:rPr>
                <w:rFonts w:hint="eastAsia" w:hAnsi="宋体"/>
                <w:b/>
                <w:bCs/>
                <w:kern w:val="0"/>
                <w:szCs w:val="21"/>
              </w:rPr>
              <w:t>公益劳动、社会实践、创新创业及专业素质能力实践</w:t>
            </w:r>
            <w:r>
              <w:rPr>
                <w:rFonts w:hAnsi="宋体"/>
                <w:b/>
                <w:bCs/>
                <w:kern w:val="0"/>
                <w:szCs w:val="21"/>
              </w:rPr>
              <w:t>等</w:t>
            </w:r>
          </w:p>
        </w:tc>
        <w:tc>
          <w:tcPr>
            <w:tcW w:w="823" w:type="dxa"/>
            <w:vAlign w:val="center"/>
          </w:tcPr>
          <w:p>
            <w:pPr>
              <w:spacing w:line="400" w:lineRule="exact"/>
              <w:jc w:val="center"/>
              <w:rPr>
                <w:rFonts w:hAnsi="宋体"/>
                <w:kern w:val="0"/>
                <w:szCs w:val="21"/>
              </w:rPr>
            </w:pPr>
            <w:r>
              <w:rPr>
                <w:rFonts w:hint="eastAsia" w:hAnsi="宋体"/>
                <w:kern w:val="0"/>
                <w:szCs w:val="21"/>
              </w:rPr>
              <w:t>必修</w:t>
            </w:r>
          </w:p>
        </w:tc>
        <w:tc>
          <w:tcPr>
            <w:tcW w:w="5616" w:type="dxa"/>
            <w:gridSpan w:val="5"/>
            <w:vAlign w:val="center"/>
          </w:tcPr>
          <w:p>
            <w:pPr>
              <w:spacing w:line="400" w:lineRule="exact"/>
              <w:jc w:val="left"/>
              <w:rPr>
                <w:rFonts w:hAnsi="宋体"/>
                <w:kern w:val="0"/>
                <w:szCs w:val="21"/>
              </w:rPr>
            </w:pPr>
            <w:r>
              <w:rPr>
                <w:rFonts w:hint="eastAsia" w:hAnsi="宋体"/>
                <w:kern w:val="0"/>
                <w:szCs w:val="21"/>
              </w:rPr>
              <w:t>具体实施细则另行规定。</w:t>
            </w:r>
          </w:p>
        </w:tc>
      </w:tr>
    </w:tbl>
    <w:p>
      <w:pPr>
        <w:spacing w:line="400" w:lineRule="exact"/>
        <w:ind w:firstLine="480" w:firstLineChars="200"/>
        <w:rPr>
          <w:rFonts w:eastAsia="黑体"/>
          <w:sz w:val="24"/>
        </w:rPr>
      </w:pPr>
      <w:r>
        <w:rPr>
          <w:rFonts w:eastAsia="黑体"/>
          <w:sz w:val="24"/>
        </w:rPr>
        <w:t>五、</w:t>
      </w:r>
      <w:r>
        <w:rPr>
          <w:rFonts w:hint="eastAsia" w:eastAsia="黑体"/>
          <w:sz w:val="24"/>
        </w:rPr>
        <w:t>集中</w:t>
      </w:r>
      <w:r>
        <w:rPr>
          <w:rFonts w:eastAsia="黑体"/>
          <w:sz w:val="24"/>
        </w:rPr>
        <w:t>实践课程安排说明</w:t>
      </w:r>
    </w:p>
    <w:p>
      <w:pPr>
        <w:spacing w:line="400" w:lineRule="exact"/>
        <w:ind w:firstLine="420" w:firstLineChars="200"/>
        <w:rPr>
          <w:szCs w:val="21"/>
        </w:rPr>
      </w:pPr>
      <w:r>
        <w:rPr>
          <w:rFonts w:hint="eastAsia"/>
          <w:szCs w:val="21"/>
        </w:rPr>
        <w:t>1 .军事训练安排在第1学年进行。</w:t>
      </w:r>
    </w:p>
    <w:p>
      <w:pPr>
        <w:spacing w:line="400" w:lineRule="exact"/>
        <w:ind w:firstLine="420" w:firstLineChars="200"/>
        <w:rPr>
          <w:szCs w:val="21"/>
        </w:rPr>
      </w:pPr>
      <w:r>
        <w:rPr>
          <w:rFonts w:hint="eastAsia"/>
          <w:szCs w:val="21"/>
        </w:rPr>
        <w:t>2. 思想道德修养与法律基础、毛泽东思想和中国特色社会主义理论体系概论等2门课程各安排1学分实践教学，利用周末或假期组织实施。</w:t>
      </w:r>
    </w:p>
    <w:p>
      <w:pPr>
        <w:spacing w:line="400" w:lineRule="exact"/>
        <w:ind w:firstLine="420" w:firstLineChars="200"/>
        <w:rPr>
          <w:szCs w:val="21"/>
        </w:rPr>
      </w:pPr>
      <w:r>
        <w:rPr>
          <w:rFonts w:hint="eastAsia"/>
          <w:szCs w:val="21"/>
        </w:rPr>
        <w:t>3．其他集中教学实践时间安排说明。（根据各专业具体情况进行撰写）</w:t>
      </w:r>
    </w:p>
    <w:p>
      <w:pPr>
        <w:spacing w:line="400" w:lineRule="exact"/>
        <w:ind w:firstLine="420" w:firstLineChars="200"/>
        <w:rPr>
          <w:szCs w:val="21"/>
        </w:rPr>
      </w:pPr>
      <w:r>
        <w:rPr>
          <w:rFonts w:hint="eastAsia"/>
          <w:szCs w:val="21"/>
        </w:rPr>
        <w:t>（1）课程设计安排在第2~5学期，每学期1周，0.5学分，合并计入相应课程学分，采取校企合作开发课程形式完成。</w:t>
      </w:r>
    </w:p>
    <w:p>
      <w:pPr>
        <w:spacing w:line="400" w:lineRule="exact"/>
        <w:ind w:firstLine="420" w:firstLineChars="200"/>
        <w:rPr>
          <w:szCs w:val="21"/>
        </w:rPr>
      </w:pPr>
      <w:r>
        <w:rPr>
          <w:rFonts w:hint="eastAsia"/>
          <w:szCs w:val="21"/>
        </w:rPr>
        <w:t>（2）学年设计（论文）安排在第5~6学期进行。</w:t>
      </w:r>
    </w:p>
    <w:p>
      <w:pPr>
        <w:spacing w:line="400" w:lineRule="exact"/>
        <w:ind w:firstLine="420" w:firstLineChars="200"/>
        <w:rPr>
          <w:szCs w:val="21"/>
        </w:rPr>
      </w:pPr>
      <w:r>
        <w:rPr>
          <w:rFonts w:hint="eastAsia"/>
          <w:szCs w:val="21"/>
        </w:rPr>
        <w:t>（3）毕业实习（12周）、毕业设计（13周）分别安排在第7、8学期进行，采取学生到企业学习、实践的形式。</w:t>
      </w:r>
    </w:p>
    <w:p>
      <w:pPr>
        <w:spacing w:line="400" w:lineRule="exact"/>
        <w:ind w:firstLine="480" w:firstLineChars="200"/>
        <w:rPr>
          <w:rFonts w:eastAsia="黑体"/>
          <w:sz w:val="24"/>
        </w:rPr>
      </w:pPr>
      <w:r>
        <w:rPr>
          <w:rFonts w:hint="eastAsia" w:eastAsia="黑体"/>
          <w:sz w:val="24"/>
        </w:rPr>
        <w:t>六</w:t>
      </w:r>
      <w:r>
        <w:rPr>
          <w:rFonts w:eastAsia="黑体"/>
          <w:sz w:val="24"/>
        </w:rPr>
        <w:t>、</w:t>
      </w:r>
      <w:r>
        <w:rPr>
          <w:rFonts w:hint="eastAsia" w:eastAsia="黑体"/>
          <w:sz w:val="24"/>
        </w:rPr>
        <w:t>素质拓展课程</w:t>
      </w:r>
      <w:r>
        <w:rPr>
          <w:rFonts w:eastAsia="黑体"/>
          <w:sz w:val="24"/>
        </w:rPr>
        <w:t>安排说明</w:t>
      </w:r>
      <w:r>
        <w:rPr>
          <w:rFonts w:hint="eastAsia" w:eastAsia="黑体"/>
          <w:sz w:val="24"/>
        </w:rPr>
        <w:t>（具体实施细则另行规定）</w:t>
      </w:r>
    </w:p>
    <w:p>
      <w:pPr>
        <w:spacing w:line="400" w:lineRule="exact"/>
        <w:ind w:firstLine="420" w:firstLineChars="200"/>
      </w:pPr>
      <w:r>
        <w:rPr>
          <w:rFonts w:hint="eastAsia"/>
        </w:rPr>
        <w:t>1</w:t>
      </w:r>
      <w:r>
        <w:rPr>
          <w:rFonts w:hint="eastAsia" w:ascii="宋体" w:hAnsi="宋体"/>
        </w:rPr>
        <w:t>．公益劳动，</w:t>
      </w:r>
      <w:r>
        <w:rPr>
          <w:rFonts w:ascii="宋体" w:hAnsi="宋体"/>
        </w:rPr>
        <w:t>指学生在校期间参加学校组织的各种公益劳动，</w:t>
      </w:r>
      <w:r>
        <w:rPr>
          <w:rFonts w:hint="eastAsia" w:ascii="宋体" w:hAnsi="宋体"/>
        </w:rPr>
        <w:t>每学期</w:t>
      </w:r>
      <w:r>
        <w:rPr>
          <w:rFonts w:ascii="宋体" w:hAnsi="宋体"/>
        </w:rPr>
        <w:t>不少于</w:t>
      </w:r>
      <w:r>
        <w:rPr>
          <w:rFonts w:hint="eastAsia" w:hAnsi="宋体"/>
        </w:rPr>
        <w:t>1</w:t>
      </w:r>
      <w:r>
        <w:rPr>
          <w:rFonts w:ascii="宋体" w:hAnsi="宋体"/>
        </w:rPr>
        <w:t>周。</w:t>
      </w:r>
    </w:p>
    <w:p>
      <w:pPr>
        <w:spacing w:line="400" w:lineRule="exact"/>
        <w:ind w:firstLine="420" w:firstLineChars="200"/>
        <w:rPr>
          <w:rFonts w:hAnsi="宋体"/>
        </w:rPr>
      </w:pPr>
      <w:r>
        <w:rPr>
          <w:rFonts w:hint="eastAsia" w:hAnsi="宋体"/>
        </w:rPr>
        <w:t>2</w:t>
      </w:r>
      <w:r>
        <w:rPr>
          <w:rFonts w:hint="eastAsia" w:ascii="宋体" w:hAnsi="宋体"/>
        </w:rPr>
        <w:t>．社会实践活动，学生应积极参加学校组织的社会调查、志愿者服务等社会实践活动，累计时间不少于</w:t>
      </w:r>
      <w:r>
        <w:rPr>
          <w:rFonts w:hint="eastAsia"/>
        </w:rPr>
        <w:t>4</w:t>
      </w:r>
      <w:r>
        <w:rPr>
          <w:rFonts w:hint="eastAsia" w:ascii="宋体" w:hAnsi="宋体"/>
        </w:rPr>
        <w:t>周。</w:t>
      </w:r>
    </w:p>
    <w:p>
      <w:pPr>
        <w:spacing w:line="400" w:lineRule="exact"/>
        <w:ind w:firstLine="420" w:firstLineChars="200"/>
        <w:rPr>
          <w:rFonts w:hAnsi="宋体"/>
        </w:rPr>
      </w:pPr>
      <w:r>
        <w:t>3</w:t>
      </w:r>
      <w:r>
        <w:rPr>
          <w:rFonts w:hint="eastAsia" w:ascii="宋体" w:hAnsi="宋体"/>
        </w:rPr>
        <w:t>．创新创业及专业</w:t>
      </w:r>
      <w:r>
        <w:rPr>
          <w:rFonts w:ascii="宋体" w:hAnsi="宋体"/>
        </w:rPr>
        <w:t>素质能力实践</w:t>
      </w:r>
      <w:r>
        <w:rPr>
          <w:rFonts w:hint="eastAsia" w:ascii="宋体" w:hAnsi="宋体"/>
        </w:rPr>
        <w:t>。</w:t>
      </w:r>
    </w:p>
    <w:p>
      <w:pPr>
        <w:spacing w:line="400" w:lineRule="exact"/>
        <w:ind w:firstLine="480" w:firstLineChars="200"/>
        <w:rPr>
          <w:rFonts w:eastAsia="黑体"/>
          <w:sz w:val="24"/>
        </w:rPr>
      </w:pPr>
      <w:r>
        <w:rPr>
          <w:rFonts w:hint="eastAsia" w:eastAsia="黑体"/>
          <w:sz w:val="24"/>
        </w:rPr>
        <w:t>七</w:t>
      </w:r>
      <w:r>
        <w:rPr>
          <w:rFonts w:eastAsia="黑体"/>
          <w:sz w:val="24"/>
        </w:rPr>
        <w:t>、各学年周数总体安排</w:t>
      </w:r>
    </w:p>
    <w:p>
      <w:pPr>
        <w:spacing w:line="400" w:lineRule="exact"/>
        <w:jc w:val="center"/>
        <w:rPr>
          <w:rFonts w:hAnsi="宋体"/>
          <w:sz w:val="24"/>
        </w:rPr>
      </w:pPr>
      <w:r>
        <w:rPr>
          <w:rFonts w:hAnsi="宋体"/>
          <w:sz w:val="24"/>
        </w:rPr>
        <w:t>各学年周数安排表</w:t>
      </w:r>
    </w:p>
    <w:tbl>
      <w:tblPr>
        <w:tblStyle w:val="8"/>
        <w:tblW w:w="88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685"/>
        <w:gridCol w:w="635"/>
        <w:gridCol w:w="733"/>
        <w:gridCol w:w="955"/>
        <w:gridCol w:w="749"/>
        <w:gridCol w:w="1198"/>
        <w:gridCol w:w="1264"/>
        <w:gridCol w:w="767"/>
        <w:gridCol w:w="1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25" w:type="dxa"/>
            <w:vAlign w:val="center"/>
          </w:tcPr>
          <w:p>
            <w:pPr>
              <w:spacing w:line="360" w:lineRule="exact"/>
              <w:jc w:val="center"/>
              <w:rPr>
                <w:rFonts w:hAnsi="宋体"/>
                <w:szCs w:val="21"/>
              </w:rPr>
            </w:pPr>
            <w:r>
              <w:rPr>
                <w:rFonts w:hAnsi="宋体"/>
                <w:szCs w:val="21"/>
              </w:rPr>
              <w:t>学年</w:t>
            </w:r>
          </w:p>
        </w:tc>
        <w:tc>
          <w:tcPr>
            <w:tcW w:w="685" w:type="dxa"/>
            <w:vAlign w:val="center"/>
          </w:tcPr>
          <w:p>
            <w:pPr>
              <w:spacing w:line="360" w:lineRule="exact"/>
              <w:jc w:val="center"/>
              <w:rPr>
                <w:szCs w:val="21"/>
              </w:rPr>
            </w:pPr>
            <w:r>
              <w:rPr>
                <w:rFonts w:hAnsi="宋体"/>
                <w:szCs w:val="21"/>
              </w:rPr>
              <w:t>学期</w:t>
            </w:r>
          </w:p>
        </w:tc>
        <w:tc>
          <w:tcPr>
            <w:tcW w:w="635" w:type="dxa"/>
            <w:vAlign w:val="center"/>
          </w:tcPr>
          <w:p>
            <w:pPr>
              <w:spacing w:line="360" w:lineRule="exact"/>
              <w:jc w:val="center"/>
              <w:rPr>
                <w:szCs w:val="21"/>
              </w:rPr>
            </w:pPr>
            <w:r>
              <w:rPr>
                <w:rFonts w:hAnsi="宋体"/>
                <w:szCs w:val="21"/>
              </w:rPr>
              <w:t>课堂教学</w:t>
            </w:r>
          </w:p>
        </w:tc>
        <w:tc>
          <w:tcPr>
            <w:tcW w:w="733" w:type="dxa"/>
            <w:vAlign w:val="center"/>
          </w:tcPr>
          <w:p>
            <w:pPr>
              <w:spacing w:line="360" w:lineRule="exact"/>
              <w:jc w:val="center"/>
              <w:rPr>
                <w:szCs w:val="21"/>
              </w:rPr>
            </w:pPr>
            <w:r>
              <w:rPr>
                <w:rFonts w:hAnsi="宋体"/>
                <w:szCs w:val="21"/>
              </w:rPr>
              <w:t>复习考试</w:t>
            </w:r>
          </w:p>
        </w:tc>
        <w:tc>
          <w:tcPr>
            <w:tcW w:w="955" w:type="dxa"/>
            <w:vAlign w:val="center"/>
          </w:tcPr>
          <w:p>
            <w:pPr>
              <w:spacing w:line="360" w:lineRule="exact"/>
              <w:jc w:val="center"/>
              <w:rPr>
                <w:szCs w:val="21"/>
              </w:rPr>
            </w:pPr>
            <w:r>
              <w:rPr>
                <w:rFonts w:hAnsi="宋体"/>
                <w:szCs w:val="21"/>
              </w:rPr>
              <w:t>实习</w:t>
            </w:r>
          </w:p>
        </w:tc>
        <w:tc>
          <w:tcPr>
            <w:tcW w:w="749" w:type="dxa"/>
            <w:vAlign w:val="center"/>
          </w:tcPr>
          <w:p>
            <w:pPr>
              <w:spacing w:line="360" w:lineRule="exact"/>
              <w:jc w:val="center"/>
              <w:rPr>
                <w:szCs w:val="21"/>
              </w:rPr>
            </w:pPr>
            <w:r>
              <w:rPr>
                <w:rFonts w:hAnsi="宋体"/>
                <w:szCs w:val="21"/>
              </w:rPr>
              <w:t>见习</w:t>
            </w:r>
          </w:p>
        </w:tc>
        <w:tc>
          <w:tcPr>
            <w:tcW w:w="1198" w:type="dxa"/>
            <w:vAlign w:val="center"/>
          </w:tcPr>
          <w:p>
            <w:pPr>
              <w:spacing w:line="360" w:lineRule="exact"/>
              <w:jc w:val="center"/>
              <w:rPr>
                <w:rFonts w:hAnsi="宋体"/>
                <w:szCs w:val="21"/>
              </w:rPr>
            </w:pPr>
            <w:r>
              <w:rPr>
                <w:rFonts w:hAnsi="宋体"/>
                <w:szCs w:val="21"/>
              </w:rPr>
              <w:t>课程设计或</w:t>
            </w:r>
          </w:p>
          <w:p>
            <w:pPr>
              <w:spacing w:line="360" w:lineRule="exact"/>
              <w:jc w:val="center"/>
              <w:rPr>
                <w:szCs w:val="21"/>
              </w:rPr>
            </w:pPr>
            <w:r>
              <w:rPr>
                <w:rFonts w:hint="eastAsia" w:hAnsi="宋体"/>
                <w:szCs w:val="21"/>
              </w:rPr>
              <w:t>课程</w:t>
            </w:r>
            <w:r>
              <w:rPr>
                <w:rFonts w:hAnsi="宋体"/>
                <w:szCs w:val="21"/>
              </w:rPr>
              <w:t>实践</w:t>
            </w:r>
          </w:p>
        </w:tc>
        <w:tc>
          <w:tcPr>
            <w:tcW w:w="1264" w:type="dxa"/>
            <w:vAlign w:val="center"/>
          </w:tcPr>
          <w:p>
            <w:pPr>
              <w:spacing w:line="360" w:lineRule="exact"/>
              <w:jc w:val="center"/>
              <w:rPr>
                <w:szCs w:val="21"/>
              </w:rPr>
            </w:pPr>
            <w:r>
              <w:rPr>
                <w:rFonts w:hAnsi="宋体"/>
                <w:szCs w:val="21"/>
              </w:rPr>
              <w:t>毕业</w:t>
            </w:r>
            <w:r>
              <w:rPr>
                <w:rFonts w:hint="eastAsia" w:hAnsi="宋体"/>
                <w:szCs w:val="21"/>
              </w:rPr>
              <w:t>设计（论文）</w:t>
            </w:r>
          </w:p>
        </w:tc>
        <w:tc>
          <w:tcPr>
            <w:tcW w:w="767" w:type="dxa"/>
            <w:vAlign w:val="center"/>
          </w:tcPr>
          <w:p>
            <w:pPr>
              <w:spacing w:line="360" w:lineRule="exact"/>
              <w:jc w:val="center"/>
              <w:rPr>
                <w:szCs w:val="21"/>
              </w:rPr>
            </w:pPr>
            <w:r>
              <w:rPr>
                <w:rFonts w:hAnsi="宋体"/>
                <w:szCs w:val="21"/>
              </w:rPr>
              <w:t>机动与</w:t>
            </w:r>
          </w:p>
          <w:p>
            <w:pPr>
              <w:spacing w:line="360" w:lineRule="exact"/>
              <w:jc w:val="center"/>
              <w:rPr>
                <w:szCs w:val="21"/>
              </w:rPr>
            </w:pPr>
            <w:r>
              <w:rPr>
                <w:rFonts w:hint="eastAsia" w:hAnsi="宋体"/>
                <w:szCs w:val="21"/>
              </w:rPr>
              <w:t>公益劳动</w:t>
            </w:r>
          </w:p>
        </w:tc>
        <w:tc>
          <w:tcPr>
            <w:tcW w:w="1273" w:type="dxa"/>
            <w:vAlign w:val="center"/>
          </w:tcPr>
          <w:p>
            <w:pPr>
              <w:spacing w:line="360" w:lineRule="exact"/>
              <w:jc w:val="center"/>
              <w:rPr>
                <w:szCs w:val="21"/>
              </w:rPr>
            </w:pPr>
            <w:r>
              <w:rPr>
                <w:rFonts w:hAnsi="宋体"/>
                <w:szCs w:val="21"/>
              </w:rPr>
              <w:t>军训</w:t>
            </w:r>
          </w:p>
          <w:p>
            <w:pPr>
              <w:spacing w:line="360" w:lineRule="exact"/>
              <w:jc w:val="center"/>
              <w:rPr>
                <w:szCs w:val="21"/>
              </w:rPr>
            </w:pPr>
            <w:r>
              <w:rPr>
                <w:rFonts w:hAnsi="宋体"/>
                <w:szCs w:val="21"/>
              </w:rPr>
              <w:t>入学教育</w:t>
            </w:r>
          </w:p>
          <w:p>
            <w:pPr>
              <w:spacing w:line="360" w:lineRule="exact"/>
              <w:jc w:val="center"/>
              <w:rPr>
                <w:szCs w:val="21"/>
              </w:rPr>
            </w:pPr>
            <w:r>
              <w:rPr>
                <w:rFonts w:hAnsi="宋体"/>
                <w:szCs w:val="21"/>
              </w:rPr>
              <w:t>毕业教育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25" w:type="dxa"/>
            <w:vMerge w:val="restart"/>
            <w:vAlign w:val="center"/>
          </w:tcPr>
          <w:p>
            <w:pPr>
              <w:spacing w:line="360" w:lineRule="exact"/>
              <w:jc w:val="center"/>
              <w:rPr>
                <w:szCs w:val="21"/>
              </w:rPr>
            </w:pPr>
            <w:r>
              <w:rPr>
                <w:rFonts w:hAnsi="宋体"/>
                <w:szCs w:val="21"/>
              </w:rPr>
              <w:t>一</w:t>
            </w:r>
          </w:p>
        </w:tc>
        <w:tc>
          <w:tcPr>
            <w:tcW w:w="685" w:type="dxa"/>
            <w:vAlign w:val="center"/>
          </w:tcPr>
          <w:p>
            <w:pPr>
              <w:spacing w:line="360" w:lineRule="exact"/>
              <w:jc w:val="center"/>
              <w:rPr>
                <w:szCs w:val="21"/>
              </w:rPr>
            </w:pPr>
            <w:r>
              <w:rPr>
                <w:rFonts w:hint="eastAsia"/>
                <w:szCs w:val="21"/>
              </w:rPr>
              <w:t>1</w:t>
            </w:r>
          </w:p>
        </w:tc>
        <w:tc>
          <w:tcPr>
            <w:tcW w:w="635" w:type="dxa"/>
            <w:vAlign w:val="center"/>
          </w:tcPr>
          <w:p>
            <w:pPr>
              <w:jc w:val="center"/>
              <w:rPr>
                <w:szCs w:val="21"/>
              </w:rPr>
            </w:pPr>
            <w:r>
              <w:rPr>
                <w:rFonts w:hint="eastAsia"/>
                <w:szCs w:val="21"/>
              </w:rPr>
              <w:t>15</w:t>
            </w:r>
          </w:p>
        </w:tc>
        <w:tc>
          <w:tcPr>
            <w:tcW w:w="733" w:type="dxa"/>
            <w:vAlign w:val="center"/>
          </w:tcPr>
          <w:p>
            <w:pPr>
              <w:jc w:val="center"/>
              <w:rPr>
                <w:szCs w:val="21"/>
              </w:rPr>
            </w:pPr>
            <w:r>
              <w:rPr>
                <w:szCs w:val="21"/>
              </w:rPr>
              <w:t>1.5</w:t>
            </w:r>
          </w:p>
        </w:tc>
        <w:tc>
          <w:tcPr>
            <w:tcW w:w="955" w:type="dxa"/>
            <w:vAlign w:val="center"/>
          </w:tcPr>
          <w:p>
            <w:pPr>
              <w:jc w:val="center"/>
              <w:rPr>
                <w:szCs w:val="21"/>
              </w:rPr>
            </w:pPr>
          </w:p>
        </w:tc>
        <w:tc>
          <w:tcPr>
            <w:tcW w:w="749" w:type="dxa"/>
            <w:vAlign w:val="center"/>
          </w:tcPr>
          <w:p>
            <w:pPr>
              <w:jc w:val="center"/>
              <w:rPr>
                <w:szCs w:val="21"/>
              </w:rPr>
            </w:pPr>
          </w:p>
        </w:tc>
        <w:tc>
          <w:tcPr>
            <w:tcW w:w="1198" w:type="dxa"/>
            <w:vAlign w:val="center"/>
          </w:tcPr>
          <w:p>
            <w:pPr>
              <w:jc w:val="center"/>
              <w:rPr>
                <w:szCs w:val="21"/>
              </w:rPr>
            </w:pPr>
          </w:p>
        </w:tc>
        <w:tc>
          <w:tcPr>
            <w:tcW w:w="1264" w:type="dxa"/>
            <w:vAlign w:val="center"/>
          </w:tcPr>
          <w:p>
            <w:pPr>
              <w:jc w:val="center"/>
              <w:rPr>
                <w:szCs w:val="21"/>
              </w:rPr>
            </w:pPr>
          </w:p>
        </w:tc>
        <w:tc>
          <w:tcPr>
            <w:tcW w:w="767" w:type="dxa"/>
            <w:vAlign w:val="center"/>
          </w:tcPr>
          <w:p>
            <w:pPr>
              <w:jc w:val="center"/>
              <w:rPr>
                <w:szCs w:val="21"/>
              </w:rPr>
            </w:pPr>
            <w:r>
              <w:rPr>
                <w:szCs w:val="21"/>
              </w:rPr>
              <w:t>1.0</w:t>
            </w:r>
          </w:p>
        </w:tc>
        <w:tc>
          <w:tcPr>
            <w:tcW w:w="1273" w:type="dxa"/>
            <w:vAlign w:val="center"/>
          </w:tcPr>
          <w:p>
            <w:pPr>
              <w:jc w:val="center"/>
              <w:rPr>
                <w:szCs w:val="21"/>
              </w:rPr>
            </w:pPr>
            <w:r>
              <w:rPr>
                <w:rFonts w:hint="eastAsia"/>
                <w:szCs w:val="21"/>
              </w:rPr>
              <w:t>2</w:t>
            </w:r>
            <w:r>
              <w:rP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625" w:type="dxa"/>
            <w:vMerge w:val="continue"/>
            <w:vAlign w:val="center"/>
          </w:tcPr>
          <w:p>
            <w:pPr>
              <w:spacing w:line="360" w:lineRule="exact"/>
              <w:jc w:val="center"/>
              <w:rPr>
                <w:szCs w:val="21"/>
              </w:rPr>
            </w:pPr>
          </w:p>
        </w:tc>
        <w:tc>
          <w:tcPr>
            <w:tcW w:w="685" w:type="dxa"/>
            <w:vAlign w:val="center"/>
          </w:tcPr>
          <w:p>
            <w:pPr>
              <w:spacing w:line="360" w:lineRule="exact"/>
              <w:jc w:val="center"/>
              <w:rPr>
                <w:szCs w:val="21"/>
              </w:rPr>
            </w:pPr>
            <w:r>
              <w:rPr>
                <w:rFonts w:hint="eastAsia"/>
                <w:szCs w:val="21"/>
              </w:rPr>
              <w:t>2</w:t>
            </w:r>
          </w:p>
        </w:tc>
        <w:tc>
          <w:tcPr>
            <w:tcW w:w="635" w:type="dxa"/>
            <w:vAlign w:val="center"/>
          </w:tcPr>
          <w:p>
            <w:pPr>
              <w:jc w:val="center"/>
              <w:rPr>
                <w:szCs w:val="21"/>
              </w:rPr>
            </w:pPr>
            <w:r>
              <w:rPr>
                <w:rFonts w:hint="eastAsia"/>
                <w:szCs w:val="21"/>
              </w:rPr>
              <w:t>16</w:t>
            </w:r>
          </w:p>
        </w:tc>
        <w:tc>
          <w:tcPr>
            <w:tcW w:w="733" w:type="dxa"/>
            <w:vAlign w:val="center"/>
          </w:tcPr>
          <w:p>
            <w:pPr>
              <w:jc w:val="center"/>
              <w:rPr>
                <w:szCs w:val="21"/>
              </w:rPr>
            </w:pPr>
            <w:r>
              <w:rPr>
                <w:szCs w:val="21"/>
              </w:rPr>
              <w:t>1.5</w:t>
            </w:r>
          </w:p>
        </w:tc>
        <w:tc>
          <w:tcPr>
            <w:tcW w:w="955" w:type="dxa"/>
            <w:vAlign w:val="center"/>
          </w:tcPr>
          <w:p>
            <w:pPr>
              <w:jc w:val="center"/>
              <w:rPr>
                <w:szCs w:val="21"/>
              </w:rPr>
            </w:pPr>
          </w:p>
        </w:tc>
        <w:tc>
          <w:tcPr>
            <w:tcW w:w="749" w:type="dxa"/>
            <w:vAlign w:val="center"/>
          </w:tcPr>
          <w:p>
            <w:pPr>
              <w:jc w:val="center"/>
              <w:rPr>
                <w:szCs w:val="21"/>
              </w:rPr>
            </w:pPr>
          </w:p>
        </w:tc>
        <w:tc>
          <w:tcPr>
            <w:tcW w:w="1198" w:type="dxa"/>
            <w:vAlign w:val="center"/>
          </w:tcPr>
          <w:p>
            <w:pPr>
              <w:jc w:val="center"/>
              <w:rPr>
                <w:szCs w:val="21"/>
              </w:rPr>
            </w:pPr>
            <w:r>
              <w:rPr>
                <w:rFonts w:hint="eastAsia"/>
                <w:szCs w:val="21"/>
              </w:rPr>
              <w:t>1</w:t>
            </w:r>
          </w:p>
        </w:tc>
        <w:tc>
          <w:tcPr>
            <w:tcW w:w="1264" w:type="dxa"/>
            <w:vAlign w:val="center"/>
          </w:tcPr>
          <w:p>
            <w:pPr>
              <w:jc w:val="center"/>
              <w:rPr>
                <w:szCs w:val="21"/>
              </w:rPr>
            </w:pPr>
          </w:p>
        </w:tc>
        <w:tc>
          <w:tcPr>
            <w:tcW w:w="767" w:type="dxa"/>
            <w:vAlign w:val="center"/>
          </w:tcPr>
          <w:p>
            <w:pPr>
              <w:jc w:val="center"/>
              <w:rPr>
                <w:szCs w:val="21"/>
              </w:rPr>
            </w:pPr>
            <w:r>
              <w:rPr>
                <w:szCs w:val="21"/>
              </w:rPr>
              <w:t>1.5</w:t>
            </w:r>
          </w:p>
        </w:tc>
        <w:tc>
          <w:tcPr>
            <w:tcW w:w="127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25" w:type="dxa"/>
            <w:vMerge w:val="restart"/>
            <w:vAlign w:val="center"/>
          </w:tcPr>
          <w:p>
            <w:pPr>
              <w:spacing w:line="360" w:lineRule="exact"/>
              <w:jc w:val="center"/>
              <w:rPr>
                <w:szCs w:val="21"/>
              </w:rPr>
            </w:pPr>
            <w:r>
              <w:rPr>
                <w:rFonts w:hAnsi="宋体"/>
                <w:szCs w:val="21"/>
              </w:rPr>
              <w:t>二</w:t>
            </w:r>
          </w:p>
        </w:tc>
        <w:tc>
          <w:tcPr>
            <w:tcW w:w="685" w:type="dxa"/>
            <w:vAlign w:val="center"/>
          </w:tcPr>
          <w:p>
            <w:pPr>
              <w:spacing w:line="360" w:lineRule="exact"/>
              <w:jc w:val="center"/>
              <w:rPr>
                <w:szCs w:val="21"/>
              </w:rPr>
            </w:pPr>
            <w:r>
              <w:rPr>
                <w:rFonts w:hint="eastAsia"/>
                <w:szCs w:val="21"/>
              </w:rPr>
              <w:t>3</w:t>
            </w:r>
          </w:p>
        </w:tc>
        <w:tc>
          <w:tcPr>
            <w:tcW w:w="635" w:type="dxa"/>
            <w:vAlign w:val="center"/>
          </w:tcPr>
          <w:p>
            <w:pPr>
              <w:jc w:val="center"/>
              <w:rPr>
                <w:szCs w:val="21"/>
              </w:rPr>
            </w:pPr>
            <w:r>
              <w:rPr>
                <w:rFonts w:hint="eastAsia"/>
                <w:szCs w:val="21"/>
              </w:rPr>
              <w:t>16</w:t>
            </w:r>
          </w:p>
        </w:tc>
        <w:tc>
          <w:tcPr>
            <w:tcW w:w="733" w:type="dxa"/>
            <w:vAlign w:val="center"/>
          </w:tcPr>
          <w:p>
            <w:pPr>
              <w:jc w:val="center"/>
              <w:rPr>
                <w:szCs w:val="21"/>
              </w:rPr>
            </w:pPr>
            <w:r>
              <w:rPr>
                <w:szCs w:val="21"/>
              </w:rPr>
              <w:t>1.5</w:t>
            </w:r>
          </w:p>
        </w:tc>
        <w:tc>
          <w:tcPr>
            <w:tcW w:w="955" w:type="dxa"/>
            <w:vAlign w:val="center"/>
          </w:tcPr>
          <w:p>
            <w:pPr>
              <w:jc w:val="center"/>
              <w:rPr>
                <w:szCs w:val="21"/>
              </w:rPr>
            </w:pPr>
          </w:p>
        </w:tc>
        <w:tc>
          <w:tcPr>
            <w:tcW w:w="749" w:type="dxa"/>
            <w:vAlign w:val="center"/>
          </w:tcPr>
          <w:p>
            <w:pPr>
              <w:jc w:val="center"/>
              <w:rPr>
                <w:szCs w:val="21"/>
              </w:rPr>
            </w:pPr>
          </w:p>
        </w:tc>
        <w:tc>
          <w:tcPr>
            <w:tcW w:w="1198" w:type="dxa"/>
            <w:vAlign w:val="center"/>
          </w:tcPr>
          <w:p>
            <w:pPr>
              <w:jc w:val="center"/>
              <w:rPr>
                <w:szCs w:val="21"/>
              </w:rPr>
            </w:pPr>
            <w:r>
              <w:rPr>
                <w:rFonts w:hint="eastAsia"/>
                <w:szCs w:val="21"/>
              </w:rPr>
              <w:t>1</w:t>
            </w:r>
          </w:p>
        </w:tc>
        <w:tc>
          <w:tcPr>
            <w:tcW w:w="1264" w:type="dxa"/>
            <w:vAlign w:val="center"/>
          </w:tcPr>
          <w:p>
            <w:pPr>
              <w:jc w:val="center"/>
              <w:rPr>
                <w:szCs w:val="21"/>
              </w:rPr>
            </w:pPr>
          </w:p>
        </w:tc>
        <w:tc>
          <w:tcPr>
            <w:tcW w:w="767" w:type="dxa"/>
            <w:vAlign w:val="center"/>
          </w:tcPr>
          <w:p>
            <w:pPr>
              <w:jc w:val="center"/>
              <w:rPr>
                <w:szCs w:val="21"/>
              </w:rPr>
            </w:pPr>
            <w:r>
              <w:rPr>
                <w:szCs w:val="21"/>
              </w:rPr>
              <w:t>1.5</w:t>
            </w:r>
          </w:p>
        </w:tc>
        <w:tc>
          <w:tcPr>
            <w:tcW w:w="127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625" w:type="dxa"/>
            <w:vMerge w:val="continue"/>
            <w:vAlign w:val="center"/>
          </w:tcPr>
          <w:p>
            <w:pPr>
              <w:spacing w:line="360" w:lineRule="exact"/>
              <w:jc w:val="center"/>
              <w:rPr>
                <w:szCs w:val="21"/>
              </w:rPr>
            </w:pPr>
          </w:p>
        </w:tc>
        <w:tc>
          <w:tcPr>
            <w:tcW w:w="685" w:type="dxa"/>
            <w:vAlign w:val="center"/>
          </w:tcPr>
          <w:p>
            <w:pPr>
              <w:spacing w:line="360" w:lineRule="exact"/>
              <w:jc w:val="center"/>
              <w:rPr>
                <w:szCs w:val="21"/>
              </w:rPr>
            </w:pPr>
            <w:r>
              <w:rPr>
                <w:rFonts w:hint="eastAsia"/>
                <w:szCs w:val="21"/>
              </w:rPr>
              <w:t>4</w:t>
            </w:r>
          </w:p>
        </w:tc>
        <w:tc>
          <w:tcPr>
            <w:tcW w:w="635" w:type="dxa"/>
            <w:vAlign w:val="center"/>
          </w:tcPr>
          <w:p>
            <w:pPr>
              <w:jc w:val="center"/>
              <w:rPr>
                <w:szCs w:val="21"/>
              </w:rPr>
            </w:pPr>
            <w:r>
              <w:rPr>
                <w:rFonts w:hint="eastAsia"/>
                <w:szCs w:val="21"/>
              </w:rPr>
              <w:t>16</w:t>
            </w:r>
          </w:p>
        </w:tc>
        <w:tc>
          <w:tcPr>
            <w:tcW w:w="733" w:type="dxa"/>
            <w:vAlign w:val="center"/>
          </w:tcPr>
          <w:p>
            <w:pPr>
              <w:jc w:val="center"/>
              <w:rPr>
                <w:szCs w:val="21"/>
              </w:rPr>
            </w:pPr>
            <w:r>
              <w:rPr>
                <w:szCs w:val="21"/>
              </w:rPr>
              <w:t>1.5</w:t>
            </w:r>
          </w:p>
        </w:tc>
        <w:tc>
          <w:tcPr>
            <w:tcW w:w="955" w:type="dxa"/>
            <w:vAlign w:val="center"/>
          </w:tcPr>
          <w:p>
            <w:pPr>
              <w:jc w:val="center"/>
              <w:rPr>
                <w:szCs w:val="21"/>
              </w:rPr>
            </w:pPr>
          </w:p>
        </w:tc>
        <w:tc>
          <w:tcPr>
            <w:tcW w:w="749" w:type="dxa"/>
            <w:vAlign w:val="center"/>
          </w:tcPr>
          <w:p>
            <w:pPr>
              <w:jc w:val="center"/>
              <w:rPr>
                <w:szCs w:val="21"/>
              </w:rPr>
            </w:pPr>
          </w:p>
        </w:tc>
        <w:tc>
          <w:tcPr>
            <w:tcW w:w="1198" w:type="dxa"/>
            <w:vAlign w:val="center"/>
          </w:tcPr>
          <w:p>
            <w:pPr>
              <w:jc w:val="center"/>
              <w:rPr>
                <w:szCs w:val="21"/>
              </w:rPr>
            </w:pPr>
            <w:r>
              <w:rPr>
                <w:rFonts w:hint="eastAsia"/>
                <w:szCs w:val="21"/>
              </w:rPr>
              <w:t>1</w:t>
            </w:r>
          </w:p>
        </w:tc>
        <w:tc>
          <w:tcPr>
            <w:tcW w:w="1264" w:type="dxa"/>
            <w:vAlign w:val="center"/>
          </w:tcPr>
          <w:p>
            <w:pPr>
              <w:jc w:val="center"/>
              <w:rPr>
                <w:szCs w:val="21"/>
              </w:rPr>
            </w:pPr>
          </w:p>
        </w:tc>
        <w:tc>
          <w:tcPr>
            <w:tcW w:w="767" w:type="dxa"/>
            <w:vAlign w:val="center"/>
          </w:tcPr>
          <w:p>
            <w:pPr>
              <w:jc w:val="center"/>
              <w:rPr>
                <w:szCs w:val="21"/>
              </w:rPr>
            </w:pPr>
            <w:r>
              <w:rPr>
                <w:szCs w:val="21"/>
              </w:rPr>
              <w:t>1.5</w:t>
            </w:r>
          </w:p>
        </w:tc>
        <w:tc>
          <w:tcPr>
            <w:tcW w:w="127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25" w:type="dxa"/>
            <w:vMerge w:val="restart"/>
            <w:vAlign w:val="center"/>
          </w:tcPr>
          <w:p>
            <w:pPr>
              <w:spacing w:line="360" w:lineRule="exact"/>
              <w:jc w:val="center"/>
              <w:rPr>
                <w:szCs w:val="21"/>
              </w:rPr>
            </w:pPr>
            <w:r>
              <w:rPr>
                <w:rFonts w:hAnsi="宋体"/>
                <w:szCs w:val="21"/>
              </w:rPr>
              <w:t>三</w:t>
            </w:r>
          </w:p>
        </w:tc>
        <w:tc>
          <w:tcPr>
            <w:tcW w:w="685" w:type="dxa"/>
            <w:vAlign w:val="center"/>
          </w:tcPr>
          <w:p>
            <w:pPr>
              <w:spacing w:line="360" w:lineRule="exact"/>
              <w:jc w:val="center"/>
              <w:rPr>
                <w:szCs w:val="21"/>
              </w:rPr>
            </w:pPr>
            <w:r>
              <w:rPr>
                <w:rFonts w:hint="eastAsia"/>
                <w:szCs w:val="21"/>
              </w:rPr>
              <w:t>5</w:t>
            </w:r>
          </w:p>
        </w:tc>
        <w:tc>
          <w:tcPr>
            <w:tcW w:w="635" w:type="dxa"/>
            <w:vAlign w:val="center"/>
          </w:tcPr>
          <w:p>
            <w:pPr>
              <w:jc w:val="center"/>
              <w:rPr>
                <w:szCs w:val="21"/>
              </w:rPr>
            </w:pPr>
            <w:r>
              <w:rPr>
                <w:rFonts w:hint="eastAsia"/>
                <w:szCs w:val="21"/>
              </w:rPr>
              <w:t>16</w:t>
            </w:r>
          </w:p>
        </w:tc>
        <w:tc>
          <w:tcPr>
            <w:tcW w:w="733" w:type="dxa"/>
            <w:vAlign w:val="center"/>
          </w:tcPr>
          <w:p>
            <w:pPr>
              <w:jc w:val="center"/>
              <w:rPr>
                <w:szCs w:val="21"/>
              </w:rPr>
            </w:pPr>
            <w:r>
              <w:rPr>
                <w:szCs w:val="21"/>
              </w:rPr>
              <w:t>1.5</w:t>
            </w:r>
          </w:p>
        </w:tc>
        <w:tc>
          <w:tcPr>
            <w:tcW w:w="955" w:type="dxa"/>
            <w:vAlign w:val="center"/>
          </w:tcPr>
          <w:p>
            <w:pPr>
              <w:jc w:val="center"/>
              <w:rPr>
                <w:szCs w:val="21"/>
              </w:rPr>
            </w:pPr>
          </w:p>
        </w:tc>
        <w:tc>
          <w:tcPr>
            <w:tcW w:w="749" w:type="dxa"/>
            <w:vAlign w:val="center"/>
          </w:tcPr>
          <w:p>
            <w:pPr>
              <w:jc w:val="center"/>
              <w:rPr>
                <w:szCs w:val="21"/>
              </w:rPr>
            </w:pPr>
          </w:p>
        </w:tc>
        <w:tc>
          <w:tcPr>
            <w:tcW w:w="1198" w:type="dxa"/>
            <w:vAlign w:val="center"/>
          </w:tcPr>
          <w:p>
            <w:pPr>
              <w:jc w:val="center"/>
              <w:rPr>
                <w:szCs w:val="21"/>
              </w:rPr>
            </w:pPr>
            <w:r>
              <w:rPr>
                <w:rFonts w:hint="eastAsia"/>
                <w:szCs w:val="21"/>
              </w:rPr>
              <w:t>1</w:t>
            </w:r>
          </w:p>
        </w:tc>
        <w:tc>
          <w:tcPr>
            <w:tcW w:w="1264" w:type="dxa"/>
            <w:vAlign w:val="center"/>
          </w:tcPr>
          <w:p>
            <w:pPr>
              <w:jc w:val="center"/>
              <w:rPr>
                <w:szCs w:val="21"/>
              </w:rPr>
            </w:pPr>
          </w:p>
        </w:tc>
        <w:tc>
          <w:tcPr>
            <w:tcW w:w="767" w:type="dxa"/>
            <w:vAlign w:val="center"/>
          </w:tcPr>
          <w:p>
            <w:pPr>
              <w:jc w:val="center"/>
              <w:rPr>
                <w:szCs w:val="21"/>
              </w:rPr>
            </w:pPr>
            <w:r>
              <w:rPr>
                <w:szCs w:val="21"/>
              </w:rPr>
              <w:t>1.5</w:t>
            </w:r>
          </w:p>
        </w:tc>
        <w:tc>
          <w:tcPr>
            <w:tcW w:w="127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625" w:type="dxa"/>
            <w:vMerge w:val="continue"/>
            <w:vAlign w:val="center"/>
          </w:tcPr>
          <w:p>
            <w:pPr>
              <w:spacing w:line="360" w:lineRule="exact"/>
              <w:jc w:val="center"/>
              <w:rPr>
                <w:szCs w:val="21"/>
              </w:rPr>
            </w:pPr>
          </w:p>
        </w:tc>
        <w:tc>
          <w:tcPr>
            <w:tcW w:w="685" w:type="dxa"/>
            <w:vAlign w:val="center"/>
          </w:tcPr>
          <w:p>
            <w:pPr>
              <w:spacing w:line="360" w:lineRule="exact"/>
              <w:jc w:val="center"/>
              <w:rPr>
                <w:szCs w:val="21"/>
              </w:rPr>
            </w:pPr>
            <w:r>
              <w:rPr>
                <w:rFonts w:hint="eastAsia"/>
                <w:szCs w:val="21"/>
              </w:rPr>
              <w:t>6</w:t>
            </w:r>
          </w:p>
        </w:tc>
        <w:tc>
          <w:tcPr>
            <w:tcW w:w="635" w:type="dxa"/>
            <w:vAlign w:val="center"/>
          </w:tcPr>
          <w:p>
            <w:pPr>
              <w:jc w:val="center"/>
              <w:rPr>
                <w:szCs w:val="21"/>
              </w:rPr>
            </w:pPr>
            <w:r>
              <w:rPr>
                <w:rFonts w:hint="eastAsia"/>
                <w:szCs w:val="21"/>
              </w:rPr>
              <w:t>16</w:t>
            </w:r>
          </w:p>
        </w:tc>
        <w:tc>
          <w:tcPr>
            <w:tcW w:w="733" w:type="dxa"/>
            <w:vAlign w:val="center"/>
          </w:tcPr>
          <w:p>
            <w:pPr>
              <w:jc w:val="center"/>
              <w:rPr>
                <w:szCs w:val="21"/>
              </w:rPr>
            </w:pPr>
            <w:r>
              <w:rPr>
                <w:szCs w:val="21"/>
              </w:rPr>
              <w:t>1.5</w:t>
            </w:r>
          </w:p>
        </w:tc>
        <w:tc>
          <w:tcPr>
            <w:tcW w:w="955" w:type="dxa"/>
            <w:vAlign w:val="center"/>
          </w:tcPr>
          <w:p>
            <w:pPr>
              <w:jc w:val="center"/>
              <w:rPr>
                <w:szCs w:val="21"/>
              </w:rPr>
            </w:pPr>
          </w:p>
        </w:tc>
        <w:tc>
          <w:tcPr>
            <w:tcW w:w="749" w:type="dxa"/>
            <w:vAlign w:val="center"/>
          </w:tcPr>
          <w:p>
            <w:pPr>
              <w:jc w:val="center"/>
              <w:rPr>
                <w:szCs w:val="21"/>
              </w:rPr>
            </w:pPr>
          </w:p>
        </w:tc>
        <w:tc>
          <w:tcPr>
            <w:tcW w:w="1198" w:type="dxa"/>
            <w:vAlign w:val="center"/>
          </w:tcPr>
          <w:p>
            <w:pPr>
              <w:jc w:val="center"/>
              <w:rPr>
                <w:szCs w:val="21"/>
              </w:rPr>
            </w:pPr>
          </w:p>
        </w:tc>
        <w:tc>
          <w:tcPr>
            <w:tcW w:w="1264" w:type="dxa"/>
            <w:vAlign w:val="center"/>
          </w:tcPr>
          <w:p>
            <w:pPr>
              <w:jc w:val="center"/>
              <w:rPr>
                <w:szCs w:val="21"/>
              </w:rPr>
            </w:pPr>
          </w:p>
        </w:tc>
        <w:tc>
          <w:tcPr>
            <w:tcW w:w="767" w:type="dxa"/>
            <w:vAlign w:val="center"/>
          </w:tcPr>
          <w:p>
            <w:pPr>
              <w:jc w:val="center"/>
              <w:rPr>
                <w:szCs w:val="21"/>
              </w:rPr>
            </w:pPr>
            <w:r>
              <w:rPr>
                <w:szCs w:val="21"/>
              </w:rPr>
              <w:t>1.5</w:t>
            </w:r>
          </w:p>
        </w:tc>
        <w:tc>
          <w:tcPr>
            <w:tcW w:w="127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625" w:type="dxa"/>
            <w:vMerge w:val="restart"/>
            <w:vAlign w:val="center"/>
          </w:tcPr>
          <w:p>
            <w:pPr>
              <w:spacing w:line="360" w:lineRule="exact"/>
              <w:jc w:val="center"/>
              <w:rPr>
                <w:szCs w:val="21"/>
              </w:rPr>
            </w:pPr>
            <w:r>
              <w:rPr>
                <w:rFonts w:hAnsi="宋体"/>
                <w:szCs w:val="21"/>
              </w:rPr>
              <w:t>四</w:t>
            </w:r>
          </w:p>
        </w:tc>
        <w:tc>
          <w:tcPr>
            <w:tcW w:w="685" w:type="dxa"/>
            <w:vAlign w:val="center"/>
          </w:tcPr>
          <w:p>
            <w:pPr>
              <w:spacing w:line="360" w:lineRule="exact"/>
              <w:jc w:val="center"/>
              <w:rPr>
                <w:szCs w:val="21"/>
              </w:rPr>
            </w:pPr>
            <w:r>
              <w:rPr>
                <w:rFonts w:hint="eastAsia"/>
                <w:szCs w:val="21"/>
              </w:rPr>
              <w:t>7</w:t>
            </w:r>
          </w:p>
        </w:tc>
        <w:tc>
          <w:tcPr>
            <w:tcW w:w="635" w:type="dxa"/>
            <w:vAlign w:val="center"/>
          </w:tcPr>
          <w:p>
            <w:pPr>
              <w:jc w:val="center"/>
              <w:rPr>
                <w:szCs w:val="21"/>
              </w:rPr>
            </w:pPr>
          </w:p>
        </w:tc>
        <w:tc>
          <w:tcPr>
            <w:tcW w:w="733" w:type="dxa"/>
            <w:vAlign w:val="center"/>
          </w:tcPr>
          <w:p>
            <w:pPr>
              <w:jc w:val="center"/>
              <w:rPr>
                <w:szCs w:val="21"/>
              </w:rPr>
            </w:pPr>
          </w:p>
        </w:tc>
        <w:tc>
          <w:tcPr>
            <w:tcW w:w="955" w:type="dxa"/>
            <w:vAlign w:val="center"/>
          </w:tcPr>
          <w:p>
            <w:pPr>
              <w:jc w:val="center"/>
              <w:rPr>
                <w:szCs w:val="21"/>
              </w:rPr>
            </w:pPr>
            <w:r>
              <w:rPr>
                <w:rFonts w:hint="eastAsia"/>
                <w:szCs w:val="21"/>
              </w:rPr>
              <w:t>12</w:t>
            </w:r>
          </w:p>
        </w:tc>
        <w:tc>
          <w:tcPr>
            <w:tcW w:w="749" w:type="dxa"/>
            <w:vAlign w:val="center"/>
          </w:tcPr>
          <w:p>
            <w:pPr>
              <w:jc w:val="center"/>
              <w:rPr>
                <w:szCs w:val="21"/>
              </w:rPr>
            </w:pPr>
          </w:p>
        </w:tc>
        <w:tc>
          <w:tcPr>
            <w:tcW w:w="1198" w:type="dxa"/>
            <w:vAlign w:val="center"/>
          </w:tcPr>
          <w:p>
            <w:pPr>
              <w:jc w:val="center"/>
              <w:rPr>
                <w:szCs w:val="21"/>
              </w:rPr>
            </w:pPr>
          </w:p>
        </w:tc>
        <w:tc>
          <w:tcPr>
            <w:tcW w:w="1264" w:type="dxa"/>
            <w:vAlign w:val="center"/>
          </w:tcPr>
          <w:p>
            <w:pPr>
              <w:jc w:val="center"/>
              <w:rPr>
                <w:szCs w:val="21"/>
              </w:rPr>
            </w:pPr>
          </w:p>
        </w:tc>
        <w:tc>
          <w:tcPr>
            <w:tcW w:w="767" w:type="dxa"/>
            <w:vAlign w:val="center"/>
          </w:tcPr>
          <w:p>
            <w:pPr>
              <w:jc w:val="center"/>
              <w:rPr>
                <w:szCs w:val="21"/>
              </w:rPr>
            </w:pPr>
            <w:r>
              <w:rPr>
                <w:szCs w:val="21"/>
              </w:rPr>
              <w:t>1.5</w:t>
            </w:r>
          </w:p>
        </w:tc>
        <w:tc>
          <w:tcPr>
            <w:tcW w:w="127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625" w:type="dxa"/>
            <w:vMerge w:val="continue"/>
            <w:vAlign w:val="center"/>
          </w:tcPr>
          <w:p>
            <w:pPr>
              <w:spacing w:line="360" w:lineRule="exact"/>
              <w:jc w:val="center"/>
              <w:rPr>
                <w:szCs w:val="21"/>
              </w:rPr>
            </w:pPr>
          </w:p>
        </w:tc>
        <w:tc>
          <w:tcPr>
            <w:tcW w:w="685" w:type="dxa"/>
            <w:vAlign w:val="center"/>
          </w:tcPr>
          <w:p>
            <w:pPr>
              <w:spacing w:line="360" w:lineRule="exact"/>
              <w:jc w:val="center"/>
              <w:rPr>
                <w:szCs w:val="21"/>
              </w:rPr>
            </w:pPr>
            <w:r>
              <w:rPr>
                <w:rFonts w:hint="eastAsia"/>
                <w:szCs w:val="21"/>
              </w:rPr>
              <w:t>8</w:t>
            </w:r>
          </w:p>
        </w:tc>
        <w:tc>
          <w:tcPr>
            <w:tcW w:w="635" w:type="dxa"/>
            <w:vAlign w:val="center"/>
          </w:tcPr>
          <w:p>
            <w:pPr>
              <w:jc w:val="center"/>
              <w:rPr>
                <w:szCs w:val="21"/>
              </w:rPr>
            </w:pPr>
          </w:p>
        </w:tc>
        <w:tc>
          <w:tcPr>
            <w:tcW w:w="733" w:type="dxa"/>
            <w:vAlign w:val="center"/>
          </w:tcPr>
          <w:p>
            <w:pPr>
              <w:jc w:val="center"/>
              <w:rPr>
                <w:szCs w:val="21"/>
              </w:rPr>
            </w:pPr>
          </w:p>
        </w:tc>
        <w:tc>
          <w:tcPr>
            <w:tcW w:w="955" w:type="dxa"/>
            <w:vAlign w:val="center"/>
          </w:tcPr>
          <w:p>
            <w:pPr>
              <w:jc w:val="center"/>
              <w:rPr>
                <w:szCs w:val="21"/>
              </w:rPr>
            </w:pPr>
          </w:p>
        </w:tc>
        <w:tc>
          <w:tcPr>
            <w:tcW w:w="749" w:type="dxa"/>
            <w:vAlign w:val="center"/>
          </w:tcPr>
          <w:p>
            <w:pPr>
              <w:jc w:val="center"/>
              <w:rPr>
                <w:szCs w:val="21"/>
              </w:rPr>
            </w:pPr>
          </w:p>
        </w:tc>
        <w:tc>
          <w:tcPr>
            <w:tcW w:w="1198" w:type="dxa"/>
            <w:vAlign w:val="center"/>
          </w:tcPr>
          <w:p>
            <w:pPr>
              <w:jc w:val="center"/>
              <w:rPr>
                <w:szCs w:val="21"/>
              </w:rPr>
            </w:pPr>
          </w:p>
        </w:tc>
        <w:tc>
          <w:tcPr>
            <w:tcW w:w="1264" w:type="dxa"/>
            <w:vAlign w:val="center"/>
          </w:tcPr>
          <w:p>
            <w:pPr>
              <w:jc w:val="center"/>
              <w:rPr>
                <w:szCs w:val="21"/>
              </w:rPr>
            </w:pPr>
            <w:r>
              <w:rPr>
                <w:rFonts w:hint="eastAsia"/>
                <w:szCs w:val="21"/>
              </w:rPr>
              <w:t>13</w:t>
            </w:r>
          </w:p>
        </w:tc>
        <w:tc>
          <w:tcPr>
            <w:tcW w:w="767" w:type="dxa"/>
            <w:vAlign w:val="center"/>
          </w:tcPr>
          <w:p>
            <w:pPr>
              <w:jc w:val="center"/>
              <w:rPr>
                <w:szCs w:val="21"/>
              </w:rPr>
            </w:pPr>
            <w:r>
              <w:rPr>
                <w:szCs w:val="21"/>
              </w:rPr>
              <w:t>1.0</w:t>
            </w:r>
          </w:p>
        </w:tc>
        <w:tc>
          <w:tcPr>
            <w:tcW w:w="1273" w:type="dxa"/>
            <w:vAlign w:val="center"/>
          </w:tcPr>
          <w:p>
            <w:pPr>
              <w:jc w:val="center"/>
              <w:rPr>
                <w:szCs w:val="21"/>
              </w:rPr>
            </w:pPr>
            <w:r>
              <w:rPr>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jc w:val="center"/>
        </w:trPr>
        <w:tc>
          <w:tcPr>
            <w:tcW w:w="1310" w:type="dxa"/>
            <w:gridSpan w:val="2"/>
            <w:vAlign w:val="center"/>
          </w:tcPr>
          <w:p>
            <w:pPr>
              <w:spacing w:line="360" w:lineRule="exact"/>
              <w:jc w:val="center"/>
              <w:rPr>
                <w:rFonts w:hAnsi="宋体"/>
                <w:szCs w:val="21"/>
              </w:rPr>
            </w:pPr>
            <w:r>
              <w:rPr>
                <w:rFonts w:hAnsi="宋体"/>
                <w:szCs w:val="21"/>
              </w:rPr>
              <w:t>合计</w:t>
            </w:r>
          </w:p>
          <w:p>
            <w:pPr>
              <w:spacing w:line="360" w:lineRule="exact"/>
              <w:jc w:val="center"/>
              <w:rPr>
                <w:szCs w:val="21"/>
              </w:rPr>
            </w:pPr>
            <w:r>
              <w:rPr>
                <w:rFonts w:hAnsi="宋体"/>
                <w:szCs w:val="21"/>
              </w:rPr>
              <w:t>（周）</w:t>
            </w:r>
          </w:p>
        </w:tc>
        <w:tc>
          <w:tcPr>
            <w:tcW w:w="635" w:type="dxa"/>
            <w:vAlign w:val="center"/>
          </w:tcPr>
          <w:p>
            <w:pPr>
              <w:jc w:val="center"/>
              <w:rPr>
                <w:szCs w:val="21"/>
              </w:rPr>
            </w:pPr>
            <w:r>
              <w:rPr>
                <w:rFonts w:hint="eastAsia"/>
                <w:szCs w:val="21"/>
              </w:rPr>
              <w:t>95</w:t>
            </w:r>
          </w:p>
        </w:tc>
        <w:tc>
          <w:tcPr>
            <w:tcW w:w="733" w:type="dxa"/>
            <w:vAlign w:val="center"/>
          </w:tcPr>
          <w:p>
            <w:pPr>
              <w:jc w:val="center"/>
              <w:rPr>
                <w:szCs w:val="21"/>
              </w:rPr>
            </w:pPr>
            <w:r>
              <w:rPr>
                <w:rFonts w:hint="eastAsia"/>
                <w:szCs w:val="21"/>
              </w:rPr>
              <w:t>9</w:t>
            </w:r>
          </w:p>
        </w:tc>
        <w:tc>
          <w:tcPr>
            <w:tcW w:w="955" w:type="dxa"/>
            <w:vAlign w:val="center"/>
          </w:tcPr>
          <w:p>
            <w:pPr>
              <w:jc w:val="center"/>
              <w:rPr>
                <w:szCs w:val="21"/>
              </w:rPr>
            </w:pPr>
            <w:r>
              <w:rPr>
                <w:rFonts w:hint="eastAsia"/>
                <w:szCs w:val="21"/>
              </w:rPr>
              <w:t>12</w:t>
            </w:r>
          </w:p>
        </w:tc>
        <w:tc>
          <w:tcPr>
            <w:tcW w:w="749" w:type="dxa"/>
            <w:vAlign w:val="center"/>
          </w:tcPr>
          <w:p>
            <w:pPr>
              <w:jc w:val="center"/>
              <w:rPr>
                <w:szCs w:val="21"/>
              </w:rPr>
            </w:pPr>
          </w:p>
        </w:tc>
        <w:tc>
          <w:tcPr>
            <w:tcW w:w="1198" w:type="dxa"/>
            <w:vAlign w:val="center"/>
          </w:tcPr>
          <w:p>
            <w:pPr>
              <w:jc w:val="center"/>
              <w:rPr>
                <w:szCs w:val="21"/>
              </w:rPr>
            </w:pPr>
            <w:r>
              <w:rPr>
                <w:rFonts w:hint="eastAsia"/>
                <w:szCs w:val="21"/>
              </w:rPr>
              <w:t>4</w:t>
            </w:r>
          </w:p>
        </w:tc>
        <w:tc>
          <w:tcPr>
            <w:tcW w:w="1264" w:type="dxa"/>
            <w:vAlign w:val="center"/>
          </w:tcPr>
          <w:p>
            <w:pPr>
              <w:jc w:val="center"/>
              <w:rPr>
                <w:szCs w:val="21"/>
              </w:rPr>
            </w:pPr>
            <w:r>
              <w:rPr>
                <w:rFonts w:hint="eastAsia"/>
                <w:szCs w:val="21"/>
              </w:rPr>
              <w:t>13</w:t>
            </w:r>
          </w:p>
        </w:tc>
        <w:tc>
          <w:tcPr>
            <w:tcW w:w="767" w:type="dxa"/>
            <w:vAlign w:val="center"/>
          </w:tcPr>
          <w:p>
            <w:pPr>
              <w:jc w:val="center"/>
              <w:rPr>
                <w:szCs w:val="21"/>
              </w:rPr>
            </w:pPr>
            <w:r>
              <w:rPr>
                <w:rFonts w:hint="eastAsia"/>
                <w:szCs w:val="21"/>
              </w:rPr>
              <w:t>11</w:t>
            </w:r>
          </w:p>
        </w:tc>
        <w:tc>
          <w:tcPr>
            <w:tcW w:w="1273" w:type="dxa"/>
            <w:vAlign w:val="center"/>
          </w:tcPr>
          <w:p>
            <w:pPr>
              <w:jc w:val="center"/>
              <w:rPr>
                <w:szCs w:val="21"/>
              </w:rPr>
            </w:pPr>
            <w:r>
              <w:rPr>
                <w:rFonts w:hint="eastAsia"/>
                <w:szCs w:val="21"/>
              </w:rPr>
              <w:t>4</w:t>
            </w:r>
          </w:p>
        </w:tc>
      </w:tr>
    </w:tbl>
    <w:p>
      <w:pPr>
        <w:spacing w:line="400" w:lineRule="exact"/>
        <w:ind w:firstLine="411" w:firstLineChars="196"/>
        <w:rPr>
          <w:rFonts w:ascii="宋体" w:hAnsi="宋体" w:cs="宋体"/>
          <w:szCs w:val="21"/>
        </w:rPr>
      </w:pPr>
      <w:r>
        <w:rPr>
          <w:rFonts w:hint="eastAsia" w:ascii="宋体" w:hAnsi="宋体" w:cs="宋体"/>
          <w:szCs w:val="21"/>
        </w:rPr>
        <w:t>注：各学年具体周数以校历为准，</w:t>
      </w:r>
      <w:r>
        <w:rPr>
          <w:rFonts w:hint="eastAsia" w:ascii="宋体" w:hAnsi="宋体" w:cs="宋体"/>
          <w:szCs w:val="21"/>
          <w:u w:val="single"/>
        </w:rPr>
        <w:t>第8学期一般不超过16周，</w:t>
      </w:r>
      <w:r>
        <w:rPr>
          <w:rFonts w:hint="eastAsia"/>
          <w:b/>
          <w:bCs/>
          <w:szCs w:val="21"/>
        </w:rPr>
        <w:t>各专业可根据专业特点安排部分实践课程在假期进行，标注为*号</w:t>
      </w:r>
      <w:r>
        <w:rPr>
          <w:rFonts w:hint="eastAsia" w:ascii="宋体" w:hAnsi="宋体" w:cs="宋体"/>
          <w:szCs w:val="21"/>
        </w:rPr>
        <w:t>。（该备注在成文时删除）</w:t>
      </w:r>
    </w:p>
    <w:p>
      <w:pPr>
        <w:spacing w:line="400" w:lineRule="exact"/>
        <w:ind w:firstLine="470" w:firstLineChars="196"/>
        <w:rPr>
          <w:rFonts w:ascii="黑体" w:eastAsia="黑体" w:cs="黑体"/>
          <w:sz w:val="24"/>
          <w:szCs w:val="28"/>
        </w:rPr>
      </w:pPr>
      <w:r>
        <w:rPr>
          <w:rFonts w:hint="eastAsia" w:eastAsia="黑体"/>
          <w:sz w:val="24"/>
        </w:rPr>
        <w:t>八</w:t>
      </w:r>
      <w:r>
        <w:rPr>
          <w:rFonts w:eastAsia="黑体"/>
          <w:sz w:val="24"/>
        </w:rPr>
        <w:t>、</w:t>
      </w:r>
      <w:r>
        <w:rPr>
          <w:rFonts w:hint="eastAsia" w:ascii="黑体" w:eastAsia="黑体" w:cs="黑体"/>
          <w:sz w:val="24"/>
          <w:szCs w:val="28"/>
        </w:rPr>
        <w:t>各学期教学计划表</w:t>
      </w:r>
    </w:p>
    <w:p>
      <w:pPr>
        <w:spacing w:line="400" w:lineRule="exact"/>
        <w:ind w:firstLine="420"/>
        <w:rPr>
          <w:rFonts w:ascii="宋体" w:hAnsi="宋体" w:cs="宋体"/>
          <w:szCs w:val="21"/>
        </w:rPr>
      </w:pPr>
      <w:r>
        <w:rPr>
          <w:rFonts w:hint="eastAsia" w:ascii="宋体" w:hAnsi="宋体" w:cs="宋体"/>
          <w:szCs w:val="21"/>
        </w:rPr>
        <w:t>说明：</w:t>
      </w:r>
    </w:p>
    <w:p>
      <w:pPr>
        <w:spacing w:line="400" w:lineRule="exact"/>
        <w:ind w:firstLine="420"/>
        <w:rPr>
          <w:rFonts w:ascii="宋体" w:hAnsi="宋体" w:cs="宋体"/>
          <w:szCs w:val="21"/>
        </w:rPr>
      </w:pPr>
      <w:r>
        <w:rPr>
          <w:rFonts w:hint="eastAsia" w:ascii="宋体" w:hAnsi="宋体" w:cs="宋体"/>
          <w:szCs w:val="21"/>
        </w:rPr>
        <w:t>1.教学计划表中的课程类别A类为必修课，B类为限选课，C类为任选课。</w:t>
      </w:r>
    </w:p>
    <w:p>
      <w:pPr>
        <w:spacing w:line="400" w:lineRule="exact"/>
        <w:ind w:firstLine="420"/>
        <w:rPr>
          <w:rFonts w:ascii="宋体" w:hAnsi="宋体" w:cs="宋体"/>
          <w:szCs w:val="21"/>
        </w:rPr>
      </w:pPr>
      <w:r>
        <w:rPr>
          <w:rFonts w:hint="eastAsia" w:ascii="宋体" w:hAnsi="宋体" w:cs="宋体"/>
          <w:szCs w:val="21"/>
        </w:rPr>
        <w:t>2.各专业应在课程标识列作相应标记，以“★”代表核心课程，以“▲”代表与行业、企业联合开发的课程，以“◆”代表创新创业类课程，其他特色课程也请用相应符号标记。教学计划表中应体现课程的实践（含实验）学时。</w:t>
      </w:r>
    </w:p>
    <w:p>
      <w:pPr>
        <w:spacing w:line="400" w:lineRule="exact"/>
        <w:ind w:firstLine="420"/>
        <w:rPr>
          <w:rFonts w:ascii="宋体" w:hAnsi="宋体" w:cs="宋体"/>
          <w:szCs w:val="21"/>
        </w:rPr>
        <w:sectPr>
          <w:footerReference r:id="rId3" w:type="default"/>
          <w:pgSz w:w="11906" w:h="16838"/>
          <w:pgMar w:top="1418" w:right="1418" w:bottom="1134" w:left="1418" w:header="851" w:footer="992" w:gutter="0"/>
          <w:pgNumType w:start="1"/>
          <w:cols w:space="720" w:num="1"/>
          <w:docGrid w:type="lines" w:linePitch="312" w:charSpace="0"/>
        </w:sectPr>
      </w:pPr>
    </w:p>
    <w:tbl>
      <w:tblPr>
        <w:tblStyle w:val="8"/>
        <w:tblW w:w="9102" w:type="dxa"/>
        <w:jc w:val="center"/>
        <w:tblInd w:w="0" w:type="dxa"/>
        <w:tblLayout w:type="fixed"/>
        <w:tblCellMar>
          <w:top w:w="15" w:type="dxa"/>
          <w:left w:w="15" w:type="dxa"/>
          <w:bottom w:w="15" w:type="dxa"/>
          <w:right w:w="15" w:type="dxa"/>
        </w:tblCellMar>
      </w:tblPr>
      <w:tblGrid>
        <w:gridCol w:w="624"/>
        <w:gridCol w:w="421"/>
        <w:gridCol w:w="630"/>
        <w:gridCol w:w="2056"/>
        <w:gridCol w:w="424"/>
        <w:gridCol w:w="408"/>
        <w:gridCol w:w="524"/>
        <w:gridCol w:w="1063"/>
        <w:gridCol w:w="1605"/>
        <w:gridCol w:w="925"/>
        <w:gridCol w:w="422"/>
      </w:tblGrid>
      <w:tr>
        <w:tblPrEx>
          <w:tblLayout w:type="fixed"/>
          <w:tblCellMar>
            <w:top w:w="15" w:type="dxa"/>
            <w:left w:w="15" w:type="dxa"/>
            <w:bottom w:w="15" w:type="dxa"/>
            <w:right w:w="15" w:type="dxa"/>
          </w:tblCellMar>
        </w:tblPrEx>
        <w:trPr>
          <w:trHeight w:val="301"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课程模块</w:t>
            </w:r>
          </w:p>
        </w:tc>
        <w:tc>
          <w:tcPr>
            <w:tcW w:w="421"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课程类别</w:t>
            </w:r>
          </w:p>
        </w:tc>
        <w:tc>
          <w:tcPr>
            <w:tcW w:w="63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课程编码</w:t>
            </w:r>
          </w:p>
        </w:tc>
        <w:tc>
          <w:tcPr>
            <w:tcW w:w="2056"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课程名称</w:t>
            </w:r>
          </w:p>
        </w:tc>
        <w:tc>
          <w:tcPr>
            <w:tcW w:w="42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b/>
                <w:sz w:val="16"/>
                <w:szCs w:val="16"/>
              </w:rPr>
            </w:pPr>
            <w:r>
              <w:rPr>
                <w:rFonts w:hint="eastAsia" w:ascii="宋体" w:hAnsi="宋体" w:cs="宋体"/>
                <w:b/>
                <w:kern w:val="0"/>
                <w:sz w:val="16"/>
                <w:szCs w:val="16"/>
              </w:rPr>
              <w:t>课程标识</w:t>
            </w:r>
          </w:p>
        </w:tc>
        <w:tc>
          <w:tcPr>
            <w:tcW w:w="408"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学分数</w:t>
            </w:r>
          </w:p>
        </w:tc>
        <w:tc>
          <w:tcPr>
            <w:tcW w:w="158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学时数</w:t>
            </w:r>
          </w:p>
        </w:tc>
        <w:tc>
          <w:tcPr>
            <w:tcW w:w="160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平均周学时</w:t>
            </w:r>
          </w:p>
        </w:tc>
        <w:tc>
          <w:tcPr>
            <w:tcW w:w="92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开课学期</w:t>
            </w:r>
          </w:p>
        </w:tc>
        <w:tc>
          <w:tcPr>
            <w:tcW w:w="422"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考核方式</w:t>
            </w:r>
          </w:p>
        </w:tc>
      </w:tr>
      <w:tr>
        <w:tblPrEx>
          <w:tblLayout w:type="fixed"/>
          <w:tblCellMar>
            <w:top w:w="15" w:type="dxa"/>
            <w:left w:w="15" w:type="dxa"/>
            <w:bottom w:w="15" w:type="dxa"/>
            <w:right w:w="15" w:type="dxa"/>
          </w:tblCellMar>
        </w:tblPrEx>
        <w:trPr>
          <w:trHeight w:val="4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42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63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205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4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b/>
                <w:sz w:val="16"/>
                <w:szCs w:val="16"/>
              </w:rPr>
            </w:pPr>
          </w:p>
        </w:tc>
        <w:tc>
          <w:tcPr>
            <w:tcW w:w="40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课内总</w:t>
            </w:r>
          </w:p>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学时</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其中实</w:t>
            </w:r>
          </w:p>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践学时</w:t>
            </w:r>
          </w:p>
        </w:tc>
        <w:tc>
          <w:tcPr>
            <w:tcW w:w="160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92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4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通识课程</w:t>
            </w: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0302012</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思想道德修养与法律基础</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3</w:t>
            </w:r>
            <w:r>
              <w:rPr>
                <w:kern w:val="0"/>
                <w:sz w:val="16"/>
                <w:szCs w:val="16"/>
              </w:rPr>
              <w:t xml:space="preserve">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16*</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0601110</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中国近现代史纲要</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48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sz w:val="16"/>
                <w:szCs w:val="16"/>
              </w:rPr>
              <w:t>2</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0302002</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马克思主义基本原理</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48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考试</w:t>
            </w:r>
          </w:p>
        </w:tc>
      </w:tr>
      <w:tr>
        <w:tblPrEx>
          <w:tblLayout w:type="fixed"/>
          <w:tblCellMar>
            <w:top w:w="15" w:type="dxa"/>
            <w:left w:w="15" w:type="dxa"/>
            <w:bottom w:w="15" w:type="dxa"/>
            <w:right w:w="15" w:type="dxa"/>
          </w:tblCellMar>
        </w:tblPrEx>
        <w:trPr>
          <w:trHeight w:val="32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0302016</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毛泽东思想和中国特色社会主义理论体系概论（1）</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0302017</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毛泽东思想和中国特色社会主义理论体系概论（2）</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3</w:t>
            </w:r>
            <w:r>
              <w:rPr>
                <w:kern w:val="0"/>
                <w:sz w:val="16"/>
                <w:szCs w:val="16"/>
              </w:rPr>
              <w:t xml:space="preserve">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sz w:val="16"/>
                <w:szCs w:val="16"/>
              </w:rPr>
            </w:pPr>
            <w:r>
              <w:rPr>
                <w:rFonts w:hint="eastAsia"/>
                <w:sz w:val="16"/>
                <w:szCs w:val="16"/>
              </w:rPr>
              <w:t>16*</w:t>
            </w:r>
          </w:p>
        </w:tc>
        <w:tc>
          <w:tcPr>
            <w:tcW w:w="1605"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0304021</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形势与政策</w:t>
            </w:r>
            <w:r>
              <w:rPr>
                <w:rStyle w:val="15"/>
                <w:color w:val="auto"/>
              </w:rPr>
              <w:t>1</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0.5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8 </w:t>
            </w:r>
          </w:p>
        </w:tc>
        <w:tc>
          <w:tcPr>
            <w:tcW w:w="1063"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sz w:val="16"/>
                <w:szCs w:val="16"/>
              </w:rPr>
            </w:pPr>
          </w:p>
        </w:tc>
        <w:tc>
          <w:tcPr>
            <w:tcW w:w="1605"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textAlignment w:val="center"/>
              <w:rPr>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0304022</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形势与政策</w:t>
            </w:r>
            <w:r>
              <w:rPr>
                <w:rStyle w:val="15"/>
                <w:color w:val="auto"/>
              </w:rPr>
              <w:t>2</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0.5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8 </w:t>
            </w:r>
          </w:p>
        </w:tc>
        <w:tc>
          <w:tcPr>
            <w:tcW w:w="1063"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sz w:val="16"/>
                <w:szCs w:val="16"/>
              </w:rPr>
            </w:pPr>
          </w:p>
        </w:tc>
        <w:tc>
          <w:tcPr>
            <w:tcW w:w="1605"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rPr>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2</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0304023</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形势与政策</w:t>
            </w:r>
            <w:r>
              <w:rPr>
                <w:rStyle w:val="15"/>
                <w:color w:val="auto"/>
              </w:rPr>
              <w:t>3</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0.5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8 </w:t>
            </w:r>
          </w:p>
        </w:tc>
        <w:tc>
          <w:tcPr>
            <w:tcW w:w="1063"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sz w:val="16"/>
                <w:szCs w:val="16"/>
              </w:rPr>
            </w:pPr>
          </w:p>
        </w:tc>
        <w:tc>
          <w:tcPr>
            <w:tcW w:w="1605"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rPr>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0304024</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形势与政策</w:t>
            </w:r>
            <w:r>
              <w:rPr>
                <w:rStyle w:val="15"/>
                <w:color w:val="auto"/>
              </w:rPr>
              <w:t>4</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0.5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8 </w:t>
            </w:r>
          </w:p>
        </w:tc>
        <w:tc>
          <w:tcPr>
            <w:tcW w:w="1063"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sz w:val="16"/>
                <w:szCs w:val="16"/>
              </w:rPr>
            </w:pPr>
          </w:p>
        </w:tc>
        <w:tc>
          <w:tcPr>
            <w:tcW w:w="1605"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rPr>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12</w:t>
            </w:r>
            <w:r>
              <w:rPr>
                <w:rFonts w:hint="eastAsia"/>
                <w:kern w:val="0"/>
                <w:sz w:val="16"/>
                <w:szCs w:val="16"/>
              </w:rPr>
              <w:t>01</w:t>
            </w:r>
            <w:r>
              <w:rPr>
                <w:kern w:val="0"/>
                <w:sz w:val="16"/>
                <w:szCs w:val="16"/>
              </w:rPr>
              <w:t>001</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军事理论</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2</w:t>
            </w:r>
            <w:r>
              <w:rPr>
                <w:kern w:val="0"/>
                <w:sz w:val="16"/>
                <w:szCs w:val="16"/>
              </w:rPr>
              <w:t xml:space="preserve">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36</w:t>
            </w:r>
            <w:r>
              <w:rPr>
                <w:kern w:val="0"/>
                <w:sz w:val="16"/>
                <w:szCs w:val="16"/>
              </w:rPr>
              <w:t xml:space="preserve">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05020</w:t>
            </w:r>
            <w:r>
              <w:rPr>
                <w:rFonts w:hint="eastAsia"/>
                <w:kern w:val="0"/>
                <w:sz w:val="16"/>
                <w:szCs w:val="16"/>
              </w:rPr>
              <w:t>08</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大学英语</w:t>
            </w:r>
            <w:r>
              <w:rPr>
                <w:rStyle w:val="15"/>
                <w:color w:val="auto"/>
              </w:rPr>
              <w:t>A</w:t>
            </w:r>
            <w:r>
              <w:rPr>
                <w:rStyle w:val="15"/>
                <w:rFonts w:hint="eastAsia"/>
                <w:color w:val="auto"/>
              </w:rPr>
              <w:t>（1）</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64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4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050200</w:t>
            </w:r>
            <w:r>
              <w:rPr>
                <w:rFonts w:hint="eastAsia"/>
                <w:kern w:val="0"/>
                <w:sz w:val="16"/>
                <w:szCs w:val="16"/>
              </w:rPr>
              <w:t>9</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大学英语</w:t>
            </w:r>
            <w:r>
              <w:rPr>
                <w:rStyle w:val="15"/>
                <w:color w:val="auto"/>
              </w:rPr>
              <w:t>A</w:t>
            </w:r>
            <w:r>
              <w:rPr>
                <w:rStyle w:val="15"/>
                <w:rFonts w:hint="eastAsia"/>
                <w:color w:val="auto"/>
              </w:rPr>
              <w:t>（2）</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64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4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2</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05020</w:t>
            </w:r>
            <w:r>
              <w:rPr>
                <w:rFonts w:hint="eastAsia"/>
                <w:kern w:val="0"/>
                <w:sz w:val="16"/>
                <w:szCs w:val="16"/>
              </w:rPr>
              <w:t>10</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大学英语</w:t>
            </w:r>
            <w:r>
              <w:rPr>
                <w:rStyle w:val="15"/>
                <w:color w:val="auto"/>
              </w:rPr>
              <w:t>A</w:t>
            </w:r>
            <w:r>
              <w:rPr>
                <w:rStyle w:val="15"/>
                <w:rFonts w:hint="eastAsia"/>
                <w:color w:val="auto"/>
              </w:rPr>
              <w:t>（3）</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64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4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050201</w:t>
            </w:r>
            <w:r>
              <w:rPr>
                <w:rFonts w:hint="eastAsia"/>
                <w:kern w:val="0"/>
                <w:sz w:val="16"/>
                <w:szCs w:val="16"/>
              </w:rPr>
              <w:t>1</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大学英语</w:t>
            </w:r>
            <w:r>
              <w:rPr>
                <w:rStyle w:val="15"/>
                <w:color w:val="auto"/>
              </w:rPr>
              <w:t>A</w:t>
            </w:r>
            <w:r>
              <w:rPr>
                <w:rStyle w:val="15"/>
                <w:rFonts w:hint="eastAsia"/>
                <w:color w:val="auto"/>
              </w:rPr>
              <w:t>（4）</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64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4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0402005</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大学体育</w:t>
            </w:r>
            <w:r>
              <w:rPr>
                <w:rStyle w:val="15"/>
                <w:rFonts w:hint="eastAsia"/>
                <w:color w:val="auto"/>
              </w:rPr>
              <w:t>（1）</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28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0402006</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大学体育</w:t>
            </w:r>
            <w:r>
              <w:rPr>
                <w:rStyle w:val="15"/>
                <w:rFonts w:hint="eastAsia"/>
                <w:color w:val="auto"/>
              </w:rPr>
              <w:t>（2）</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30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2</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0402007</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大学体育</w:t>
            </w:r>
            <w:r>
              <w:rPr>
                <w:rStyle w:val="15"/>
                <w:rFonts w:hint="eastAsia"/>
                <w:color w:val="auto"/>
              </w:rPr>
              <w:t>（3）</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30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0402008</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大学体育</w:t>
            </w:r>
            <w:r>
              <w:rPr>
                <w:rStyle w:val="15"/>
                <w:rFonts w:hint="eastAsia"/>
                <w:color w:val="auto"/>
              </w:rPr>
              <w:t>（4）</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30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1102225</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创业基础</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8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0001049</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大学生职业发展与就业指导（</w:t>
            </w:r>
            <w:r>
              <w:rPr>
                <w:rStyle w:val="15"/>
                <w:color w:val="auto"/>
              </w:rPr>
              <w:t>1</w:t>
            </w:r>
            <w:r>
              <w:rPr>
                <w:rStyle w:val="15"/>
                <w:rFonts w:hint="eastAsia"/>
                <w:color w:val="auto"/>
              </w:rPr>
              <w:t>）</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16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4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2</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0001050</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大学生职业发展与就业指导（</w:t>
            </w:r>
            <w:r>
              <w:rPr>
                <w:rStyle w:val="15"/>
                <w:color w:val="auto"/>
              </w:rPr>
              <w:t>2</w:t>
            </w:r>
            <w:r>
              <w:rPr>
                <w:rStyle w:val="15"/>
                <w:rFonts w:hint="eastAsia"/>
                <w:color w:val="auto"/>
              </w:rPr>
              <w:t>）</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16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4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1 </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0001188</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大学生心理健康教育</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16</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小计</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39</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724</w:t>
            </w:r>
            <w:r>
              <w:rPr>
                <w:kern w:val="0"/>
                <w:sz w:val="16"/>
                <w:szCs w:val="16"/>
              </w:rPr>
              <w:t xml:space="preserve">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294</w:t>
            </w:r>
            <w:r>
              <w:rPr>
                <w:kern w:val="0"/>
                <w:sz w:val="16"/>
                <w:szCs w:val="16"/>
              </w:rPr>
              <w:t xml:space="preserve">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43</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0</w:t>
            </w:r>
            <w:r>
              <w:rPr>
                <w:rFonts w:hint="eastAsia"/>
                <w:kern w:val="0"/>
                <w:sz w:val="16"/>
                <w:szCs w:val="16"/>
              </w:rPr>
              <w:t>714036</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自然科学概论</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 xml:space="preserve">32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p>
        </w:tc>
        <w:tc>
          <w:tcPr>
            <w:tcW w:w="160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rPr>
                <w:sz w:val="16"/>
                <w:szCs w:val="16"/>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小计</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32</w:t>
            </w:r>
            <w:r>
              <w:rPr>
                <w:kern w:val="0"/>
                <w:sz w:val="16"/>
                <w:szCs w:val="16"/>
              </w:rPr>
              <w:t xml:space="preserve"> </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rPr>
                <w:sz w:val="16"/>
                <w:szCs w:val="16"/>
              </w:rPr>
            </w:pPr>
          </w:p>
        </w:tc>
        <w:tc>
          <w:tcPr>
            <w:tcW w:w="160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sz w:val="16"/>
                <w:szCs w:val="16"/>
              </w:rPr>
            </w:pPr>
            <w:r>
              <w:rPr>
                <w:kern w:val="0"/>
                <w:sz w:val="16"/>
                <w:szCs w:val="16"/>
              </w:rPr>
              <w:t xml:space="preserve">2 </w:t>
            </w:r>
          </w:p>
        </w:tc>
        <w:tc>
          <w:tcPr>
            <w:tcW w:w="925"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textAlignment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p>
        </w:tc>
      </w:tr>
      <w:tr>
        <w:tblPrEx>
          <w:tblLayout w:type="fixed"/>
          <w:tblCellMar>
            <w:top w:w="15" w:type="dxa"/>
            <w:left w:w="15" w:type="dxa"/>
            <w:bottom w:w="15" w:type="dxa"/>
            <w:right w:w="15" w:type="dxa"/>
          </w:tblCellMar>
        </w:tblPrEx>
        <w:trPr>
          <w:trHeight w:val="5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C</w:t>
            </w:r>
          </w:p>
        </w:tc>
        <w:tc>
          <w:tcPr>
            <w:tcW w:w="268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跨学科选修课</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7</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112</w:t>
            </w:r>
            <w:r>
              <w:rPr>
                <w:kern w:val="0"/>
                <w:sz w:val="16"/>
                <w:szCs w:val="16"/>
              </w:rPr>
              <w:t xml:space="preserve"> </w:t>
            </w:r>
          </w:p>
        </w:tc>
        <w:tc>
          <w:tcPr>
            <w:tcW w:w="35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每生需从学校开设的校选课中任选7学分，其中艺术类选修课2学分</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小计</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7</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112</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68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合计（通识课程）</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48</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868</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294</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45</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8057"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kern w:val="0"/>
                <w:sz w:val="16"/>
                <w:szCs w:val="16"/>
              </w:rPr>
            </w:pPr>
            <w:r>
              <w:rPr>
                <w:rFonts w:hint="eastAsia"/>
                <w:kern w:val="0"/>
                <w:sz w:val="16"/>
                <w:szCs w:val="16"/>
              </w:rPr>
              <w:t>说明：1.</w:t>
            </w:r>
            <w:r>
              <w:rPr>
                <w:kern w:val="0"/>
                <w:sz w:val="16"/>
                <w:szCs w:val="16"/>
              </w:rPr>
              <w:t>“形势与政策”课程第1-4学期每学期0.5学分，第5-8学期结合政治学习开展教学，不计算学时学分</w:t>
            </w:r>
            <w:r>
              <w:rPr>
                <w:rFonts w:hint="eastAsia"/>
                <w:kern w:val="0"/>
                <w:sz w:val="16"/>
                <w:szCs w:val="16"/>
              </w:rPr>
              <w:t>。</w:t>
            </w:r>
          </w:p>
          <w:p>
            <w:pPr>
              <w:widowControl/>
              <w:spacing w:line="240" w:lineRule="exact"/>
              <w:ind w:firstLine="480" w:firstLineChars="300"/>
              <w:jc w:val="left"/>
              <w:rPr>
                <w:rFonts w:ascii="宋体" w:hAnsi="宋体" w:cs="宋体"/>
                <w:kern w:val="0"/>
                <w:sz w:val="16"/>
                <w:szCs w:val="16"/>
              </w:rPr>
            </w:pPr>
            <w:r>
              <w:rPr>
                <w:rFonts w:hint="eastAsia"/>
                <w:kern w:val="0"/>
                <w:sz w:val="16"/>
                <w:szCs w:val="16"/>
              </w:rPr>
              <w:t>2.</w:t>
            </w:r>
            <w:r>
              <w:rPr>
                <w:rFonts w:hint="eastAsia" w:ascii="宋体" w:hAnsi="宋体" w:cs="宋体"/>
                <w:kern w:val="0"/>
                <w:sz w:val="16"/>
                <w:szCs w:val="16"/>
              </w:rPr>
              <w:t>思想政治理论课标*号的为课外实践学时，共2学分。</w:t>
            </w:r>
          </w:p>
        </w:tc>
      </w:tr>
      <w:tr>
        <w:tblPrEx>
          <w:tblLayout w:type="fixed"/>
          <w:tblCellMar>
            <w:top w:w="15" w:type="dxa"/>
            <w:left w:w="15" w:type="dxa"/>
            <w:bottom w:w="15" w:type="dxa"/>
            <w:right w:w="15" w:type="dxa"/>
          </w:tblCellMar>
        </w:tblPrEx>
        <w:trPr>
          <w:trHeight w:val="301"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r>
              <w:rPr>
                <w:rFonts w:hint="eastAsia" w:ascii="宋体" w:hAnsi="宋体" w:cs="宋体"/>
                <w:sz w:val="16"/>
                <w:szCs w:val="16"/>
              </w:rPr>
              <w:t>专业基础课</w:t>
            </w: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0701138</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物联网工程专业导论</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15</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0701139</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计算机科学概论</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30</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15</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0806023</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高级语言程序设计</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60</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0701140</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物联网工程基础</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30</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5</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806086</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计算机网络</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60</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701019</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高等数学</w:t>
            </w:r>
            <w:r>
              <w:rPr>
                <w:sz w:val="16"/>
                <w:szCs w:val="16"/>
              </w:rPr>
              <w:t>A</w:t>
            </w:r>
            <w:r>
              <w:rPr>
                <w:rFonts w:hint="eastAsia"/>
                <w:sz w:val="16"/>
                <w:szCs w:val="16"/>
              </w:rPr>
              <w:t>（</w:t>
            </w:r>
            <w:r>
              <w:rPr>
                <w:sz w:val="16"/>
                <w:szCs w:val="16"/>
              </w:rPr>
              <w:t>1</w:t>
            </w:r>
            <w:r>
              <w:rPr>
                <w:rFonts w:hint="eastAsia"/>
                <w:sz w:val="16"/>
                <w:szCs w:val="16"/>
              </w:rPr>
              <w:t>）</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75</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701020</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高等数学</w:t>
            </w:r>
            <w:r>
              <w:rPr>
                <w:sz w:val="16"/>
                <w:szCs w:val="16"/>
              </w:rPr>
              <w:t>A</w:t>
            </w:r>
            <w:r>
              <w:rPr>
                <w:rFonts w:hint="eastAsia"/>
                <w:sz w:val="16"/>
                <w:szCs w:val="16"/>
              </w:rPr>
              <w:t>（</w:t>
            </w:r>
            <w:r>
              <w:rPr>
                <w:sz w:val="16"/>
                <w:szCs w:val="16"/>
              </w:rPr>
              <w:t>2</w:t>
            </w:r>
            <w:r>
              <w:rPr>
                <w:rFonts w:hint="eastAsia"/>
                <w:sz w:val="16"/>
                <w:szCs w:val="16"/>
              </w:rPr>
              <w:t>）</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80</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701080</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线性代数</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42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806076</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数据结构</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64</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42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809010</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模拟与数字电路设计</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64</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42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701015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概率论与数理统计</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42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701081</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离散数学</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8</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42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702005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大学物理</w:t>
            </w:r>
            <w:r>
              <w:rPr>
                <w:sz w:val="16"/>
                <w:szCs w:val="16"/>
              </w:rPr>
              <w:t>B</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64</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42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68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合计（学科基础课程）</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37</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638</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1</w:t>
            </w:r>
            <w:r>
              <w:rPr>
                <w:rFonts w:hint="eastAsia"/>
                <w:kern w:val="0"/>
                <w:sz w:val="16"/>
                <w:szCs w:val="16"/>
                <w:lang w:bidi="ar"/>
              </w:rPr>
              <w:t>32</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41</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restart"/>
            <w:tcBorders>
              <w:top w:val="single" w:color="000000" w:sz="4" w:space="0"/>
              <w:left w:val="single" w:color="000000" w:sz="4" w:space="0"/>
              <w:right w:val="single" w:color="000000" w:sz="4" w:space="0"/>
            </w:tcBorders>
            <w:textDirection w:val="tbRlV"/>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专业课程</w:t>
            </w: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809011</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数据库技术</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24</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textAlignment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0701178</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传感器原理</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12</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809079</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RFID</w:t>
            </w:r>
            <w:r>
              <w:rPr>
                <w:rFonts w:hint="eastAsia"/>
                <w:sz w:val="16"/>
                <w:szCs w:val="16"/>
              </w:rPr>
              <w:t>技术</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701092</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嵌入式系统</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A</w:t>
            </w:r>
            <w:r>
              <w:rPr>
                <w:sz w:val="16"/>
                <w:szCs w:val="16"/>
              </w:rPr>
              <w:t>　</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0701179</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嵌入式系统实验</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701100</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算法设计与分析</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w:t>
            </w:r>
            <w:r>
              <w:rPr>
                <w:rFonts w:hint="eastAsia"/>
                <w:sz w:val="16"/>
                <w:szCs w:val="16"/>
              </w:rPr>
              <w:t>80</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物联网工程规划与设计</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809078</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传感网原理及应用</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考试</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0701180</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网络协议分析</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16</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68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小计</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20</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400</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154</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25</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专业选修课程</w:t>
            </w: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0806038</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面向对象程序设计</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2</w:t>
            </w:r>
            <w:r>
              <w:rPr>
                <w:sz w:val="16"/>
                <w:szCs w:val="16"/>
              </w:rPr>
              <w:t>.5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16</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712008</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单片机原理</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806</w:t>
            </w:r>
            <w:r>
              <w:rPr>
                <w:rFonts w:hint="eastAsia"/>
                <w:sz w:val="16"/>
                <w:szCs w:val="16"/>
              </w:rPr>
              <w:t>035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计算机组成原理</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2</w:t>
            </w:r>
            <w:r>
              <w:rPr>
                <w:sz w:val="16"/>
                <w:szCs w:val="16"/>
              </w:rPr>
              <w:t>.5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16</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806013</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操作系统</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64</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701134</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物联网通信技术</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16"/>
                <w:szCs w:val="16"/>
              </w:rPr>
            </w:pPr>
            <w:r>
              <w:rPr>
                <w:color w:val="000000"/>
                <w:sz w:val="16"/>
                <w:szCs w:val="16"/>
              </w:rPr>
              <w:t>0701195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r>
              <w:rPr>
                <w:rFonts w:hint="eastAsia"/>
                <w:color w:val="000000"/>
                <w:sz w:val="16"/>
                <w:szCs w:val="16"/>
              </w:rPr>
              <w:t>物联网专业外语</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16</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0809048</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项目管理</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0712155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信息安全技术</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0701181</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物联网系统项目设计</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64</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64</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0806028</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计算机图形学</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16</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B</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0701157</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数字图像处理</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12</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7</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68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小计（限选类）</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rFonts w:hint="eastAsia"/>
                <w:kern w:val="0"/>
                <w:sz w:val="16"/>
                <w:szCs w:val="16"/>
                <w:lang w:bidi="ar"/>
              </w:rPr>
              <w:t>18</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rFonts w:hint="eastAsia"/>
                <w:kern w:val="0"/>
                <w:sz w:val="16"/>
                <w:szCs w:val="16"/>
                <w:lang w:bidi="ar"/>
              </w:rPr>
              <w:t>288</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p>
        </w:tc>
        <w:tc>
          <w:tcPr>
            <w:tcW w:w="295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r>
              <w:rPr>
                <w:rFonts w:hint="eastAsia"/>
                <w:kern w:val="0"/>
                <w:sz w:val="16"/>
                <w:szCs w:val="16"/>
                <w:lang w:bidi="ar"/>
              </w:rPr>
              <w:t>限选课中至少应选修18学分</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0701135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网络设备配置与管理</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1.0</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32</w:t>
            </w:r>
            <w:r>
              <w:rPr>
                <w:sz w:val="16"/>
                <w:szCs w:val="16"/>
              </w:rPr>
              <w:t xml:space="preserve"> </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32</w:t>
            </w:r>
            <w:r>
              <w:rPr>
                <w:sz w:val="16"/>
                <w:szCs w:val="16"/>
              </w:rPr>
              <w:t xml:space="preserve">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xml:space="preserve">4 </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0701182</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信息检索与论文写作</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xml:space="preserve">1.0 </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xml:space="preserve">16 </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xml:space="preserve">10 </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1</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0806159</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6"/>
                <w:szCs w:val="16"/>
              </w:rPr>
            </w:pPr>
            <w:r>
              <w:rPr>
                <w:rFonts w:hint="eastAsia" w:ascii="宋体" w:hAnsi="宋体" w:cs="宋体"/>
                <w:kern w:val="0"/>
                <w:sz w:val="16"/>
                <w:szCs w:val="16"/>
              </w:rPr>
              <w:t>数学建模</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kern w:val="0"/>
                <w:sz w:val="16"/>
                <w:szCs w:val="16"/>
              </w:rPr>
            </w:pPr>
            <w:r>
              <w:rPr>
                <w:rFonts w:hint="eastAsia"/>
                <w:kern w:val="0"/>
                <w:sz w:val="16"/>
                <w:szCs w:val="16"/>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rFonts w:hint="eastAsia"/>
                <w:kern w:val="0"/>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rFonts w:hint="eastAsia"/>
                <w:kern w:val="0"/>
                <w:sz w:val="16"/>
                <w:szCs w:val="16"/>
              </w:rPr>
              <w:t>10</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ascii="宋体" w:hAnsi="宋体" w:cs="宋体"/>
                <w:kern w:val="0"/>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0701160</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rFonts w:hint="eastAsia" w:ascii="宋体" w:hAnsi="宋体" w:cs="宋体"/>
                <w:kern w:val="0"/>
                <w:sz w:val="16"/>
                <w:szCs w:val="16"/>
              </w:rPr>
              <w:t>创新实践</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66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学生参加专业竞赛，获得专业认证，申请软著、专利，在专业期刊发表论文，第7学期认定（细则另附）</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7</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textAlignment w:val="center"/>
              <w:rPr>
                <w:rFonts w:ascii="宋体" w:hAnsi="宋体" w:cs="宋体"/>
                <w:sz w:val="16"/>
                <w:szCs w:val="16"/>
              </w:rPr>
            </w:pPr>
          </w:p>
        </w:tc>
        <w:tc>
          <w:tcPr>
            <w:tcW w:w="8478"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物联网技术应用方向</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textAlignment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809019</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Android</w:t>
            </w:r>
            <w:r>
              <w:rPr>
                <w:rFonts w:hint="eastAsia"/>
                <w:sz w:val="16"/>
                <w:szCs w:val="16"/>
              </w:rPr>
              <w:t>应用开发</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12</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textAlignment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w:t>
            </w:r>
            <w:r>
              <w:rPr>
                <w:rFonts w:hint="eastAsia"/>
                <w:sz w:val="16"/>
                <w:szCs w:val="16"/>
              </w:rPr>
              <w:t>17</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云计算基础</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908022</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物联网定位技术</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0701183</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B/S</w:t>
            </w:r>
            <w:r>
              <w:rPr>
                <w:rFonts w:hint="eastAsia"/>
                <w:sz w:val="16"/>
                <w:szCs w:val="16"/>
              </w:rPr>
              <w:t>系统开发</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809029</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大数据技术基础</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14</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809081</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物联网应用系统开发</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w:t>
            </w:r>
            <w:r>
              <w:rPr>
                <w:rFonts w:hint="eastAsia"/>
                <w:sz w:val="16"/>
                <w:szCs w:val="16"/>
              </w:rPr>
              <w:t>6</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712061</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模式识别及应用</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sz w:val="16"/>
                <w:szCs w:val="16"/>
              </w:rPr>
            </w:pPr>
            <w:r>
              <w:rPr>
                <w:rFonts w:hint="eastAsia"/>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12</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7</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8478" w:type="dxa"/>
            <w:gridSpan w:val="10"/>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智能制造方向</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w:t>
            </w:r>
            <w:r>
              <w:rPr>
                <w:sz w:val="16"/>
                <w:szCs w:val="16"/>
              </w:rPr>
              <w:t>809033</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智能制造基础</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32</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　</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0701184</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人机交互技术</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24</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0701153</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机器人编程</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C</w:t>
            </w: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sz w:val="16"/>
                <w:szCs w:val="16"/>
              </w:rPr>
              <w:t>0701185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传感器数据分析</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right w:val="single" w:color="000000"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auto" w:sz="4" w:space="0"/>
            </w:tcBorders>
            <w:vAlign w:val="center"/>
          </w:tcPr>
          <w:p>
            <w:pPr>
              <w:jc w:val="center"/>
              <w:rPr>
                <w:sz w:val="16"/>
                <w:szCs w:val="16"/>
              </w:rPr>
            </w:pPr>
            <w:r>
              <w:rPr>
                <w:sz w:val="16"/>
                <w:szCs w:val="16"/>
              </w:rPr>
              <w:t>C</w:t>
            </w:r>
          </w:p>
        </w:tc>
        <w:tc>
          <w:tcPr>
            <w:tcW w:w="630" w:type="dxa"/>
            <w:tcBorders>
              <w:top w:val="single" w:color="000000" w:sz="4" w:space="0"/>
              <w:left w:val="single" w:color="auto" w:sz="4" w:space="0"/>
              <w:bottom w:val="single" w:color="000000" w:sz="4" w:space="0"/>
              <w:right w:val="single" w:color="000000" w:sz="4" w:space="0"/>
            </w:tcBorders>
            <w:vAlign w:val="center"/>
          </w:tcPr>
          <w:p>
            <w:pPr>
              <w:jc w:val="center"/>
              <w:rPr>
                <w:sz w:val="16"/>
                <w:szCs w:val="16"/>
              </w:rPr>
            </w:pPr>
            <w:r>
              <w:rPr>
                <w:rFonts w:hint="eastAsia"/>
                <w:sz w:val="16"/>
                <w:szCs w:val="16"/>
              </w:rPr>
              <w:t>0701159</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人工智能基础</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2.5</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48</w:t>
            </w:r>
          </w:p>
        </w:tc>
        <w:tc>
          <w:tcPr>
            <w:tcW w:w="1063"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10</w:t>
            </w:r>
          </w:p>
        </w:tc>
        <w:tc>
          <w:tcPr>
            <w:tcW w:w="160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3</w:t>
            </w:r>
          </w:p>
        </w:tc>
        <w:tc>
          <w:tcPr>
            <w:tcW w:w="925"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6</w:t>
            </w:r>
          </w:p>
        </w:tc>
        <w:tc>
          <w:tcPr>
            <w:tcW w:w="4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考查</w:t>
            </w:r>
          </w:p>
        </w:tc>
      </w:tr>
      <w:tr>
        <w:tblPrEx>
          <w:tblLayout w:type="fixed"/>
          <w:tblCellMar>
            <w:top w:w="15" w:type="dxa"/>
            <w:left w:w="15" w:type="dxa"/>
            <w:bottom w:w="15" w:type="dxa"/>
            <w:right w:w="15" w:type="dxa"/>
          </w:tblCellMar>
        </w:tblPrEx>
        <w:trPr>
          <w:trHeight w:val="301" w:hRule="atLeast"/>
          <w:jc w:val="center"/>
        </w:trPr>
        <w:tc>
          <w:tcPr>
            <w:tcW w:w="624" w:type="dxa"/>
            <w:vMerge w:val="restart"/>
            <w:tcBorders>
              <w:left w:val="single" w:color="000000" w:sz="4" w:space="0"/>
              <w:right w:val="single" w:color="auto" w:sz="4" w:space="0"/>
            </w:tcBorders>
            <w:textDirection w:val="tbRlV"/>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auto" w:sz="4" w:space="0"/>
              <w:bottom w:val="single" w:color="000000" w:sz="4" w:space="0"/>
              <w:right w:val="single" w:color="auto" w:sz="4" w:space="0"/>
            </w:tcBorders>
            <w:vAlign w:val="center"/>
          </w:tcPr>
          <w:p>
            <w:pPr>
              <w:jc w:val="center"/>
              <w:rPr>
                <w:sz w:val="16"/>
                <w:szCs w:val="16"/>
              </w:rPr>
            </w:pPr>
          </w:p>
        </w:tc>
        <w:tc>
          <w:tcPr>
            <w:tcW w:w="2686" w:type="dxa"/>
            <w:gridSpan w:val="2"/>
            <w:tcBorders>
              <w:top w:val="single" w:color="000000" w:sz="4" w:space="0"/>
              <w:left w:val="single" w:color="auto" w:sz="4" w:space="0"/>
              <w:bottom w:val="single" w:color="000000" w:sz="4" w:space="0"/>
              <w:right w:val="single" w:color="000000" w:sz="4" w:space="0"/>
            </w:tcBorders>
            <w:vAlign w:val="center"/>
          </w:tcPr>
          <w:p>
            <w:pPr>
              <w:jc w:val="center"/>
              <w:rPr>
                <w:sz w:val="16"/>
                <w:szCs w:val="16"/>
              </w:rPr>
            </w:pPr>
            <w:r>
              <w:rPr>
                <w:rFonts w:hint="eastAsia" w:ascii="宋体" w:hAnsi="宋体" w:cs="宋体"/>
                <w:kern w:val="0"/>
                <w:sz w:val="16"/>
                <w:szCs w:val="16"/>
              </w:rPr>
              <w:t>小计（</w:t>
            </w:r>
            <w:r>
              <w:rPr>
                <w:rFonts w:hint="eastAsia" w:ascii="宋体" w:hAnsi="宋体" w:cs="宋体"/>
                <w:kern w:val="0"/>
                <w:sz w:val="16"/>
                <w:szCs w:val="16"/>
                <w:lang w:bidi="ar"/>
              </w:rPr>
              <w:t>任选类</w:t>
            </w:r>
            <w:r>
              <w:rPr>
                <w:rFonts w:hint="eastAsia" w:ascii="宋体" w:hAnsi="宋体" w:cs="宋体"/>
                <w:kern w:val="0"/>
                <w:sz w:val="16"/>
                <w:szCs w:val="16"/>
              </w:rPr>
              <w:t>）</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kern w:val="0"/>
                <w:sz w:val="16"/>
                <w:szCs w:val="16"/>
                <w:lang w:bidi="ar"/>
              </w:rPr>
              <w:t>1</w:t>
            </w:r>
            <w:r>
              <w:rPr>
                <w:rFonts w:hint="eastAsia"/>
                <w:kern w:val="0"/>
                <w:sz w:val="16"/>
                <w:szCs w:val="16"/>
                <w:lang w:bidi="ar"/>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rFonts w:hint="eastAsia"/>
                <w:sz w:val="16"/>
                <w:szCs w:val="16"/>
              </w:rPr>
              <w:t>192</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p>
        </w:tc>
        <w:tc>
          <w:tcPr>
            <w:tcW w:w="2952"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rFonts w:hint="eastAsia"/>
                <w:kern w:val="0"/>
                <w:sz w:val="16"/>
                <w:szCs w:val="16"/>
                <w:lang w:bidi="ar"/>
              </w:rPr>
              <w:t>C类任选课中至少应选修12学分</w:t>
            </w: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bottom w:val="single" w:color="000000" w:sz="4" w:space="0"/>
              <w:right w:val="single" w:color="auto" w:sz="4" w:space="0"/>
            </w:tcBorders>
            <w:vAlign w:val="center"/>
          </w:tcPr>
          <w:p>
            <w:pPr>
              <w:widowControl/>
              <w:spacing w:line="240" w:lineRule="exact"/>
              <w:jc w:val="center"/>
              <w:textAlignment w:val="center"/>
              <w:rPr>
                <w:rFonts w:ascii="宋体" w:hAnsi="宋体" w:cs="宋体"/>
                <w:sz w:val="16"/>
                <w:szCs w:val="16"/>
              </w:rPr>
            </w:pPr>
          </w:p>
        </w:tc>
        <w:tc>
          <w:tcPr>
            <w:tcW w:w="421"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textAlignment w:val="center"/>
              <w:rPr>
                <w:rFonts w:ascii="宋体" w:hAnsi="宋体" w:cs="宋体"/>
                <w:sz w:val="16"/>
                <w:szCs w:val="16"/>
              </w:rPr>
            </w:pPr>
          </w:p>
        </w:tc>
        <w:tc>
          <w:tcPr>
            <w:tcW w:w="2686" w:type="dxa"/>
            <w:gridSpan w:val="2"/>
            <w:tcBorders>
              <w:top w:val="single" w:color="000000" w:sz="4" w:space="0"/>
              <w:left w:val="single" w:color="auto" w:sz="4" w:space="0"/>
              <w:bottom w:val="single" w:color="000000" w:sz="4" w:space="0"/>
              <w:right w:val="single" w:color="000000" w:sz="4" w:space="0"/>
            </w:tcBorders>
            <w:vAlign w:val="center"/>
          </w:tcPr>
          <w:p>
            <w:pPr>
              <w:spacing w:line="240" w:lineRule="exact"/>
              <w:jc w:val="center"/>
              <w:textAlignment w:val="center"/>
              <w:rPr>
                <w:rFonts w:ascii="宋体" w:hAnsi="宋体" w:cs="宋体"/>
                <w:sz w:val="16"/>
                <w:szCs w:val="16"/>
              </w:rPr>
            </w:pPr>
            <w:r>
              <w:rPr>
                <w:rFonts w:hint="eastAsia" w:ascii="宋体" w:hAnsi="宋体" w:cs="宋体"/>
                <w:kern w:val="0"/>
                <w:sz w:val="16"/>
                <w:szCs w:val="16"/>
              </w:rPr>
              <w:t>合计（专业方向课程）</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rFonts w:hint="eastAsia"/>
                <w:kern w:val="0"/>
                <w:sz w:val="16"/>
                <w:szCs w:val="16"/>
                <w:lang w:bidi="ar"/>
              </w:rPr>
              <w:t>50</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r>
              <w:rPr>
                <w:rFonts w:hint="eastAsia"/>
                <w:kern w:val="0"/>
                <w:sz w:val="16"/>
                <w:szCs w:val="16"/>
                <w:lang w:bidi="ar"/>
              </w:rPr>
              <w:t>880</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sz w:val="16"/>
                <w:szCs w:val="16"/>
              </w:rPr>
            </w:pPr>
          </w:p>
        </w:tc>
        <w:tc>
          <w:tcPr>
            <w:tcW w:w="253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集中实践课程</w:t>
            </w: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1201002</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军事训练</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2</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2</w:t>
            </w:r>
            <w:r>
              <w:rPr>
                <w:rStyle w:val="12"/>
                <w:rFonts w:hint="default"/>
                <w:color w:val="auto"/>
              </w:rPr>
              <w:t>周</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2</w:t>
            </w:r>
            <w:r>
              <w:rPr>
                <w:rStyle w:val="18"/>
                <w:rFonts w:hint="default"/>
                <w:color w:val="auto"/>
              </w:rPr>
              <w:t>周</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 xml:space="preserve">1 </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kern w:val="0"/>
                <w:sz w:val="16"/>
                <w:szCs w:val="16"/>
              </w:rPr>
            </w:pPr>
            <w:r>
              <w:rPr>
                <w:rFonts w:hint="eastAsia"/>
                <w:kern w:val="0"/>
                <w:sz w:val="16"/>
                <w:szCs w:val="16"/>
              </w:rPr>
              <w:t>0001010</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学年设计（论文）</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31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主要安排在第5、6学期假期进行，每学期不少于3周，共6周</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5，6</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0001006</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专业实习</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8</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12周</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7</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0001001</w:t>
            </w: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毕业设计（论文）</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13</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13周</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8</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0001044</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课程设计</w:t>
            </w:r>
            <w:r>
              <w:rPr>
                <w:sz w:val="16"/>
                <w:szCs w:val="16"/>
              </w:rPr>
              <w:t>(1)</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0.5</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1周</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2</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0001045</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课程设计(2)</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0.5</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1周</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3</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0001046</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*课程设计(3)</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0.5</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1周</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4</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jc w:val="center"/>
              <w:rPr>
                <w:sz w:val="16"/>
                <w:szCs w:val="16"/>
              </w:rPr>
            </w:pPr>
            <w:r>
              <w:rPr>
                <w:sz w:val="16"/>
                <w:szCs w:val="16"/>
              </w:rPr>
              <w:t>0001047</w:t>
            </w:r>
          </w:p>
        </w:tc>
        <w:tc>
          <w:tcPr>
            <w:tcW w:w="205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16"/>
                <w:szCs w:val="16"/>
              </w:rPr>
            </w:pPr>
            <w:r>
              <w:rPr>
                <w:rFonts w:hint="eastAsia"/>
                <w:sz w:val="16"/>
                <w:szCs w:val="16"/>
              </w:rPr>
              <w:t>*课程设计(4)</w:t>
            </w: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b/>
                <w:bCs/>
                <w:sz w:val="16"/>
                <w:szCs w:val="16"/>
              </w:rPr>
            </w:pPr>
            <w:r>
              <w:rPr>
                <w:b/>
                <w:bCs/>
                <w:sz w:val="16"/>
                <w:szCs w:val="16"/>
              </w:rPr>
              <w:t>　</w:t>
            </w: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0.5</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1周</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5</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合</w:t>
            </w:r>
            <w:r>
              <w:rPr>
                <w:rStyle w:val="15"/>
                <w:color w:val="auto"/>
              </w:rPr>
              <w:t xml:space="preserve">  </w:t>
            </w:r>
            <w:r>
              <w:rPr>
                <w:rStyle w:val="12"/>
                <w:rFonts w:hint="default"/>
                <w:color w:val="auto"/>
              </w:rPr>
              <w:t>计</w:t>
            </w:r>
            <w:r>
              <w:rPr>
                <w:rStyle w:val="15"/>
                <w:color w:val="auto"/>
              </w:rPr>
              <w:t xml:space="preserve"> </w:t>
            </w:r>
            <w:r>
              <w:rPr>
                <w:rStyle w:val="12"/>
                <w:rFonts w:hint="default"/>
                <w:color w:val="auto"/>
              </w:rPr>
              <w:t>（集中实践课程）</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25</w:t>
            </w:r>
          </w:p>
        </w:tc>
        <w:tc>
          <w:tcPr>
            <w:tcW w:w="31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rFonts w:hint="eastAsia"/>
                <w:kern w:val="0"/>
                <w:sz w:val="16"/>
                <w:szCs w:val="16"/>
              </w:rPr>
              <w:t>37周</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r>
              <w:rPr>
                <w:rFonts w:hint="eastAsia" w:ascii="宋体" w:hAnsi="宋体" w:cs="宋体"/>
                <w:sz w:val="16"/>
                <w:szCs w:val="16"/>
              </w:rPr>
              <w:t>素质拓展课程</w:t>
            </w: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kern w:val="0"/>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公益劳动</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kern w:val="0"/>
                <w:sz w:val="16"/>
                <w:szCs w:val="16"/>
              </w:rPr>
            </w:pPr>
          </w:p>
        </w:tc>
        <w:tc>
          <w:tcPr>
            <w:tcW w:w="31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16"/>
                <w:szCs w:val="16"/>
              </w:rPr>
            </w:pPr>
            <w:r>
              <w:rPr>
                <w:rFonts w:hint="eastAsia" w:ascii="宋体" w:hAnsi="宋体" w:cs="宋体"/>
                <w:kern w:val="0"/>
                <w:sz w:val="16"/>
                <w:szCs w:val="16"/>
              </w:rPr>
              <w:t>学生应参加学校组织的各种公益劳动，</w:t>
            </w:r>
          </w:p>
          <w:p>
            <w:pPr>
              <w:widowControl/>
              <w:spacing w:line="240" w:lineRule="exact"/>
              <w:jc w:val="center"/>
              <w:textAlignment w:val="center"/>
              <w:rPr>
                <w:kern w:val="0"/>
                <w:sz w:val="16"/>
                <w:szCs w:val="16"/>
              </w:rPr>
            </w:pPr>
            <w:r>
              <w:rPr>
                <w:rFonts w:hint="eastAsia" w:hAnsi="宋体"/>
                <w:sz w:val="16"/>
                <w:szCs w:val="16"/>
              </w:rPr>
              <w:t>每学期</w:t>
            </w:r>
            <w:r>
              <w:rPr>
                <w:rFonts w:hAnsi="宋体"/>
                <w:sz w:val="16"/>
                <w:szCs w:val="16"/>
              </w:rPr>
              <w:t>不少于</w:t>
            </w:r>
            <w:r>
              <w:rPr>
                <w:rFonts w:hint="eastAsia" w:hAnsi="宋体"/>
                <w:sz w:val="16"/>
                <w:szCs w:val="16"/>
              </w:rPr>
              <w:t>1</w:t>
            </w:r>
            <w:r>
              <w:rPr>
                <w:rFonts w:hAnsi="宋体"/>
                <w:sz w:val="16"/>
                <w:szCs w:val="16"/>
              </w:rPr>
              <w:t>周</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kern w:val="0"/>
                <w:sz w:val="16"/>
                <w:szCs w:val="16"/>
              </w:rPr>
              <w:t>1~6</w:t>
            </w: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540" w:hRule="atLeast"/>
          <w:jc w:val="center"/>
        </w:trPr>
        <w:tc>
          <w:tcPr>
            <w:tcW w:w="624" w:type="dxa"/>
            <w:vMerge w:val="continue"/>
            <w:tcBorders>
              <w:left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社会实践</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31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主要安排在假期进行，每生在学期间参加社会实践活动的时间累计应不少于</w:t>
            </w:r>
            <w:r>
              <w:rPr>
                <w:rStyle w:val="15"/>
                <w:color w:val="auto"/>
              </w:rPr>
              <w:t>4</w:t>
            </w:r>
            <w:r>
              <w:rPr>
                <w:rStyle w:val="18"/>
                <w:rFonts w:hint="default"/>
                <w:color w:val="auto"/>
              </w:rPr>
              <w:t>周。</w:t>
            </w: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435" w:hRule="atLeast"/>
          <w:jc w:val="center"/>
        </w:trPr>
        <w:tc>
          <w:tcPr>
            <w:tcW w:w="624" w:type="dxa"/>
            <w:vMerge w:val="continue"/>
            <w:tcBorders>
              <w:left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r>
              <w:rPr>
                <w:rFonts w:hint="eastAsia"/>
                <w:kern w:val="0"/>
                <w:sz w:val="16"/>
                <w:szCs w:val="16"/>
              </w:rPr>
              <w:t>A</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创新创业及专业素质能力实践</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3192"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r>
      <w:tr>
        <w:tblPrEx>
          <w:tblLayout w:type="fixed"/>
          <w:tblCellMar>
            <w:top w:w="15" w:type="dxa"/>
            <w:left w:w="15" w:type="dxa"/>
            <w:bottom w:w="15" w:type="dxa"/>
            <w:right w:w="15" w:type="dxa"/>
          </w:tblCellMar>
        </w:tblPrEx>
        <w:trPr>
          <w:trHeight w:val="301" w:hRule="atLeast"/>
          <w:jc w:val="center"/>
        </w:trPr>
        <w:tc>
          <w:tcPr>
            <w:tcW w:w="624" w:type="dxa"/>
            <w:vMerge w:val="continue"/>
            <w:tcBorders>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sz w:val="16"/>
                <w:szCs w:val="16"/>
              </w:rPr>
            </w:pPr>
          </w:p>
        </w:tc>
        <w:tc>
          <w:tcPr>
            <w:tcW w:w="42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p>
        </w:tc>
        <w:tc>
          <w:tcPr>
            <w:tcW w:w="205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16"/>
                <w:szCs w:val="16"/>
              </w:rPr>
            </w:pPr>
            <w:r>
              <w:rPr>
                <w:rFonts w:hint="eastAsia" w:ascii="宋体" w:hAnsi="宋体" w:cs="宋体"/>
                <w:kern w:val="0"/>
                <w:sz w:val="16"/>
                <w:szCs w:val="16"/>
              </w:rPr>
              <w:t>合</w:t>
            </w:r>
            <w:r>
              <w:rPr>
                <w:rStyle w:val="15"/>
                <w:color w:val="auto"/>
              </w:rPr>
              <w:t xml:space="preserve">  </w:t>
            </w:r>
            <w:r>
              <w:rPr>
                <w:rStyle w:val="12"/>
                <w:rFonts w:hint="default"/>
                <w:color w:val="auto"/>
              </w:rPr>
              <w:t>计</w:t>
            </w:r>
            <w:r>
              <w:rPr>
                <w:rStyle w:val="15"/>
                <w:color w:val="auto"/>
              </w:rPr>
              <w:t xml:space="preserve"> </w:t>
            </w:r>
            <w:r>
              <w:rPr>
                <w:rStyle w:val="12"/>
                <w:rFonts w:hint="default"/>
                <w:color w:val="auto"/>
              </w:rPr>
              <w:t>（素质拓展课程）</w:t>
            </w:r>
          </w:p>
        </w:tc>
        <w:tc>
          <w:tcPr>
            <w:tcW w:w="5371"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sz w:val="16"/>
                <w:szCs w:val="16"/>
              </w:rPr>
            </w:pPr>
            <w:r>
              <w:rPr>
                <w:rFonts w:hint="eastAsia"/>
                <w:sz w:val="16"/>
                <w:szCs w:val="16"/>
              </w:rPr>
              <w:t>每生需取得一定积分的第二课堂成绩单，具体实施细则另定</w:t>
            </w:r>
          </w:p>
        </w:tc>
      </w:tr>
      <w:tr>
        <w:tblPrEx>
          <w:tblLayout w:type="fixed"/>
          <w:tblCellMar>
            <w:top w:w="15" w:type="dxa"/>
            <w:left w:w="15" w:type="dxa"/>
            <w:bottom w:w="15" w:type="dxa"/>
            <w:right w:w="15" w:type="dxa"/>
          </w:tblCellMar>
        </w:tblPrEx>
        <w:trPr>
          <w:trHeight w:val="301" w:hRule="atLeast"/>
          <w:jc w:val="center"/>
        </w:trPr>
        <w:tc>
          <w:tcPr>
            <w:tcW w:w="3731"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b/>
                <w:sz w:val="16"/>
                <w:szCs w:val="16"/>
              </w:rPr>
            </w:pPr>
            <w:r>
              <w:rPr>
                <w:b/>
                <w:kern w:val="0"/>
                <w:sz w:val="16"/>
                <w:szCs w:val="16"/>
              </w:rPr>
              <w:t xml:space="preserve">   </w:t>
            </w:r>
            <w:r>
              <w:rPr>
                <w:rStyle w:val="17"/>
                <w:rFonts w:hint="default"/>
                <w:color w:val="auto"/>
              </w:rPr>
              <w:t>总计</w:t>
            </w:r>
          </w:p>
        </w:tc>
        <w:tc>
          <w:tcPr>
            <w:tcW w:w="4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r>
              <w:rPr>
                <w:rFonts w:hint="eastAsia"/>
                <w:b/>
                <w:sz w:val="16"/>
                <w:szCs w:val="16"/>
              </w:rPr>
              <w:t>160</w:t>
            </w:r>
          </w:p>
        </w:tc>
        <w:tc>
          <w:tcPr>
            <w:tcW w:w="5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r>
              <w:rPr>
                <w:rFonts w:hint="eastAsia"/>
                <w:b/>
                <w:sz w:val="16"/>
                <w:szCs w:val="16"/>
              </w:rPr>
              <w:t>2386</w:t>
            </w:r>
          </w:p>
        </w:tc>
        <w:tc>
          <w:tcPr>
            <w:tcW w:w="106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r>
              <w:rPr>
                <w:rFonts w:hint="eastAsia"/>
                <w:b/>
                <w:sz w:val="16"/>
                <w:szCs w:val="16"/>
              </w:rPr>
              <w:t>880</w:t>
            </w:r>
          </w:p>
        </w:tc>
        <w:tc>
          <w:tcPr>
            <w:tcW w:w="160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9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c>
          <w:tcPr>
            <w:tcW w:w="4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sz w:val="16"/>
                <w:szCs w:val="16"/>
              </w:rPr>
            </w:pPr>
          </w:p>
        </w:tc>
      </w:tr>
    </w:tbl>
    <w:p>
      <w:pPr>
        <w:spacing w:line="400" w:lineRule="exact"/>
        <w:ind w:firstLine="470" w:firstLineChars="196"/>
        <w:rPr>
          <w:rFonts w:eastAsia="黑体"/>
          <w:sz w:val="24"/>
        </w:rPr>
      </w:pPr>
    </w:p>
    <w:p>
      <w:pPr>
        <w:spacing w:line="400" w:lineRule="exact"/>
        <w:ind w:firstLine="470" w:firstLineChars="196"/>
        <w:rPr>
          <w:rFonts w:eastAsia="黑体"/>
          <w:sz w:val="24"/>
        </w:rPr>
      </w:pPr>
    </w:p>
    <w:p>
      <w:pPr>
        <w:spacing w:line="400" w:lineRule="exact"/>
        <w:ind w:firstLine="470" w:firstLineChars="196"/>
        <w:rPr>
          <w:rFonts w:eastAsia="黑体"/>
          <w:sz w:val="24"/>
        </w:rPr>
      </w:pPr>
    </w:p>
    <w:p>
      <w:pPr>
        <w:spacing w:line="400" w:lineRule="exact"/>
        <w:ind w:firstLine="470" w:firstLineChars="196"/>
        <w:rPr>
          <w:rFonts w:ascii="黑体" w:eastAsia="黑体"/>
          <w:sz w:val="24"/>
        </w:rPr>
      </w:pPr>
      <w:r>
        <w:rPr>
          <w:rFonts w:hint="eastAsia" w:ascii="黑体" w:hAnsi="黑体" w:eastAsia="黑体"/>
          <w:sz w:val="24"/>
        </w:rPr>
        <w:t>九、支撑矩阵</w:t>
      </w:r>
    </w:p>
    <w:p>
      <w:pPr>
        <w:spacing w:line="500" w:lineRule="exact"/>
        <w:ind w:firstLine="422" w:firstLineChars="200"/>
        <w:rPr>
          <w:b/>
          <w:bCs/>
          <w:szCs w:val="21"/>
        </w:rPr>
      </w:pPr>
      <w:r>
        <w:rPr>
          <w:rFonts w:hint="eastAsia"/>
          <w:b/>
          <w:bCs/>
        </w:rPr>
        <w:t>1.</w:t>
      </w:r>
      <w:r>
        <w:rPr>
          <w:rFonts w:hint="eastAsia" w:ascii="宋体" w:hAnsi="宋体"/>
          <w:b/>
          <w:bCs/>
        </w:rPr>
        <w:t>毕业要求对培养目标的支撑矩阵（列表说明专业毕业要求对专业培养目标的对应支撑情况，培养目标与毕业要求应与前面一致）</w:t>
      </w:r>
    </w:p>
    <w:tbl>
      <w:tblPr>
        <w:tblStyle w:val="8"/>
        <w:tblW w:w="769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39"/>
        <w:gridCol w:w="1539"/>
        <w:gridCol w:w="1539"/>
        <w:gridCol w:w="1539"/>
        <w:gridCol w:w="15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rFonts w:hint="eastAsia"/>
                <w:kern w:val="2"/>
                <w:sz w:val="21"/>
                <w:szCs w:val="21"/>
              </w:rPr>
              <w:t>毕业要求</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培养目标1</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培养目标2</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培养目标3</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培养目标</w:t>
            </w:r>
            <w:r>
              <w:rPr>
                <w:rFonts w:hint="eastAsia"/>
                <w:kern w:val="2"/>
                <w:sz w:val="21"/>
                <w:szCs w:val="21"/>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毕业要求1</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毕业要求2</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毕业要求3</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毕业要求4</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毕业要求5</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毕业要求6</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毕业要求7</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毕业要求8</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w:t>
            </w:r>
            <w:r>
              <w:rPr>
                <w:rFonts w:hint="eastAsia"/>
                <w:kern w:val="2"/>
                <w:sz w:val="21"/>
                <w:szCs w:val="21"/>
              </w:rPr>
              <w:t>9</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jc w:val="center"/>
              <w:rPr>
                <w:szCs w:val="21"/>
              </w:rPr>
            </w:pPr>
            <w: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w:t>
            </w:r>
            <w:r>
              <w:rPr>
                <w:rFonts w:hint="eastAsia"/>
                <w:kern w:val="2"/>
                <w:sz w:val="21"/>
                <w:szCs w:val="21"/>
              </w:rPr>
              <w:t>10</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jc w:val="center"/>
              <w:rPr>
                <w:szCs w:val="21"/>
              </w:rPr>
            </w:pPr>
            <w: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w:t>
            </w:r>
            <w:r>
              <w:rPr>
                <w:rFonts w:hint="eastAsia"/>
                <w:kern w:val="2"/>
                <w:sz w:val="21"/>
                <w:szCs w:val="21"/>
              </w:rPr>
              <w:t>11</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jc w:val="center"/>
              <w:rPr>
                <w:szCs w:val="21"/>
              </w:rPr>
            </w:pPr>
            <w: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jc w:val="center"/>
        </w:trPr>
        <w:tc>
          <w:tcPr>
            <w:tcW w:w="1539" w:type="dxa"/>
            <w:tcBorders>
              <w:top w:val="single" w:color="000000" w:sz="6" w:space="0"/>
              <w:left w:val="single" w:color="000000" w:sz="6" w:space="0"/>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毕业要求</w:t>
            </w:r>
            <w:r>
              <w:rPr>
                <w:rFonts w:hint="eastAsia"/>
                <w:kern w:val="2"/>
                <w:sz w:val="21"/>
                <w:szCs w:val="21"/>
              </w:rPr>
              <w:t>12</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pStyle w:val="7"/>
              <w:jc w:val="center"/>
              <w:rPr>
                <w:kern w:val="2"/>
                <w:sz w:val="21"/>
                <w:szCs w:val="21"/>
              </w:rPr>
            </w:pPr>
            <w:r>
              <w:rPr>
                <w:kern w:val="2"/>
                <w:sz w:val="21"/>
                <w:szCs w:val="21"/>
              </w:rPr>
              <w:t>√</w:t>
            </w:r>
          </w:p>
        </w:tc>
        <w:tc>
          <w:tcPr>
            <w:tcW w:w="1539" w:type="dxa"/>
            <w:tcBorders>
              <w:top w:val="single" w:color="000000" w:sz="6" w:space="0"/>
              <w:left w:val="nil"/>
              <w:bottom w:val="single" w:color="000000" w:sz="6" w:space="0"/>
              <w:right w:val="single" w:color="000000" w:sz="6" w:space="0"/>
            </w:tcBorders>
            <w:shd w:val="clear" w:color="auto" w:fill="FFFFFF"/>
            <w:tcMar>
              <w:top w:w="72" w:type="dxa"/>
              <w:left w:w="192" w:type="dxa"/>
              <w:bottom w:w="72" w:type="dxa"/>
              <w:right w:w="192" w:type="dxa"/>
            </w:tcMar>
            <w:vAlign w:val="center"/>
          </w:tcPr>
          <w:p>
            <w:pPr>
              <w:jc w:val="center"/>
              <w:rPr>
                <w:szCs w:val="21"/>
              </w:rPr>
            </w:pPr>
            <w:r>
              <w:t>√</w:t>
            </w:r>
          </w:p>
        </w:tc>
      </w:tr>
    </w:tbl>
    <w:p>
      <w:pPr>
        <w:spacing w:line="500" w:lineRule="exact"/>
        <w:ind w:firstLine="422" w:firstLineChars="200"/>
        <w:rPr>
          <w:b/>
          <w:bCs/>
          <w:szCs w:val="21"/>
        </w:rPr>
      </w:pPr>
      <w:r>
        <w:rPr>
          <w:rFonts w:hint="eastAsia"/>
          <w:b/>
          <w:bCs/>
        </w:rPr>
        <w:t>2.</w:t>
      </w:r>
      <w:r>
        <w:rPr>
          <w:rFonts w:hint="eastAsia" w:ascii="宋体" w:hAnsi="宋体"/>
          <w:b/>
          <w:bCs/>
        </w:rPr>
        <w:t xml:space="preserve">课程体系与毕业要求的关联度矩阵（列表说明课程体系对专业毕业要求的支撑情况，在该矩阵中用特殊符号表示对于每项毕业要求达成关联度最高的 </w:t>
      </w:r>
      <w:r>
        <w:rPr>
          <w:rFonts w:hint="eastAsia"/>
          <w:b/>
          <w:bCs/>
        </w:rPr>
        <w:t xml:space="preserve">2-3 </w:t>
      </w:r>
      <w:r>
        <w:rPr>
          <w:rFonts w:hint="eastAsia" w:ascii="宋体" w:hAnsi="宋体"/>
          <w:b/>
          <w:bCs/>
        </w:rPr>
        <w:t>门课程。</w:t>
      </w:r>
    </w:p>
    <w:tbl>
      <w:tblPr>
        <w:tblStyle w:val="8"/>
        <w:tblW w:w="9612" w:type="dxa"/>
        <w:tblInd w:w="13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701"/>
        <w:gridCol w:w="682"/>
        <w:gridCol w:w="682"/>
        <w:gridCol w:w="644"/>
        <w:gridCol w:w="681"/>
        <w:gridCol w:w="654"/>
        <w:gridCol w:w="573"/>
        <w:gridCol w:w="845"/>
        <w:gridCol w:w="696"/>
        <w:gridCol w:w="545"/>
        <w:gridCol w:w="641"/>
        <w:gridCol w:w="641"/>
        <w:gridCol w:w="6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pStyle w:val="7"/>
              <w:jc w:val="center"/>
              <w:rPr>
                <w:color w:val="auto"/>
                <w:kern w:val="2"/>
                <w:sz w:val="21"/>
                <w:szCs w:val="21"/>
              </w:rPr>
            </w:pPr>
            <w:bookmarkStart w:id="0" w:name="_GoBack"/>
            <w:r>
              <w:rPr>
                <w:color w:val="auto"/>
                <w:kern w:val="2"/>
                <w:sz w:val="21"/>
                <w:szCs w:val="21"/>
              </w:rPr>
              <w:t>教学环节</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1.工程知识</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2.</w:t>
            </w:r>
          </w:p>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问题分析</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3.方案设计</w:t>
            </w: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4.</w:t>
            </w:r>
          </w:p>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问题研究</w:t>
            </w: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5.工具使用</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6.工程与社会</w:t>
            </w: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7.</w:t>
            </w:r>
          </w:p>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环境和可持续发展</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8.</w:t>
            </w:r>
          </w:p>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个人和团队</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9.交流与沟通</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10.项目管理</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11.职业规范</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tcPr>
          <w:p>
            <w:pPr>
              <w:pStyle w:val="7"/>
              <w:spacing w:before="0" w:beforeAutospacing="0" w:after="0" w:afterAutospacing="0"/>
              <w:jc w:val="center"/>
              <w:rPr>
                <w:rFonts w:ascii="宋体" w:hAnsi="宋体"/>
                <w:color w:val="auto"/>
                <w:kern w:val="2"/>
                <w:sz w:val="21"/>
                <w:szCs w:val="21"/>
              </w:rPr>
            </w:pPr>
            <w:r>
              <w:rPr>
                <w:rFonts w:hint="eastAsia" w:ascii="宋体" w:hAnsi="宋体"/>
                <w:color w:val="auto"/>
                <w:kern w:val="2"/>
                <w:sz w:val="21"/>
                <w:szCs w:val="21"/>
              </w:rPr>
              <w:t>12.终身学习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思想道德修养与法律基础</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L</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中国近现代史纲要</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L</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马克思主义基本原理</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L</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毛泽东思想和中国特色社会主义理论体系概论</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L</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形势与政策</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L</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大学英语A</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L</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大学体育</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L</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创业基础</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大学生职业发展与就业指导</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自然科学概论</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H</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rFonts w:asciiTheme="minorEastAsia" w:hAnsiTheme="minorEastAsia" w:eastAsiaTheme="minorEastAsia" w:cstheme="minorEastAsia"/>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bottom"/>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Style w:val="27"/>
                <w:rFonts w:hint="default"/>
                <w:color w:val="auto"/>
                <w:sz w:val="20"/>
                <w:szCs w:val="20"/>
              </w:rPr>
              <w:t>高等数学</w:t>
            </w:r>
            <w:r>
              <w:rPr>
                <w:color w:val="auto"/>
                <w:kern w:val="0"/>
                <w:sz w:val="20"/>
                <w:szCs w:val="20"/>
              </w:rPr>
              <w:t>A</w:t>
            </w:r>
            <w:r>
              <w:rPr>
                <w:rStyle w:val="27"/>
                <w:rFonts w:hint="default"/>
                <w:color w:val="auto"/>
                <w:sz w:val="20"/>
                <w:szCs w:val="20"/>
              </w:rPr>
              <w:t>（</w:t>
            </w:r>
            <w:r>
              <w:rPr>
                <w:color w:val="auto"/>
                <w:kern w:val="0"/>
                <w:sz w:val="20"/>
                <w:szCs w:val="20"/>
              </w:rPr>
              <w:t>1</w:t>
            </w:r>
            <w:r>
              <w:rPr>
                <w:rStyle w:val="27"/>
                <w:rFonts w:hint="default"/>
                <w:color w:val="auto"/>
                <w:sz w:val="20"/>
                <w:szCs w:val="20"/>
              </w:rPr>
              <w:t>）</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Style w:val="27"/>
                <w:rFonts w:hint="default"/>
                <w:color w:val="auto"/>
                <w:sz w:val="20"/>
                <w:szCs w:val="20"/>
              </w:rPr>
              <w:t>高等数学</w:t>
            </w:r>
            <w:r>
              <w:rPr>
                <w:color w:val="auto"/>
                <w:kern w:val="0"/>
                <w:sz w:val="20"/>
                <w:szCs w:val="20"/>
              </w:rPr>
              <w:t>A</w:t>
            </w:r>
            <w:r>
              <w:rPr>
                <w:rStyle w:val="27"/>
                <w:rFonts w:hint="default"/>
                <w:color w:val="auto"/>
                <w:sz w:val="20"/>
                <w:szCs w:val="20"/>
              </w:rPr>
              <w:t>（</w:t>
            </w:r>
            <w:r>
              <w:rPr>
                <w:color w:val="auto"/>
                <w:kern w:val="0"/>
                <w:sz w:val="20"/>
                <w:szCs w:val="20"/>
              </w:rPr>
              <w:t>2</w:t>
            </w:r>
            <w:r>
              <w:rPr>
                <w:rStyle w:val="27"/>
                <w:rFonts w:hint="default"/>
                <w:color w:val="auto"/>
                <w:sz w:val="20"/>
                <w:szCs w:val="20"/>
              </w:rPr>
              <w:t>）</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ascii="宋体" w:hAnsi="宋体"/>
                <w:color w:val="auto"/>
                <w:kern w:val="0"/>
                <w:sz w:val="20"/>
                <w:szCs w:val="20"/>
              </w:rPr>
              <w:t>线性代数</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ascii="宋体" w:hAnsi="宋体"/>
                <w:color w:val="auto"/>
                <w:kern w:val="0"/>
                <w:sz w:val="20"/>
                <w:szCs w:val="20"/>
              </w:rPr>
              <w:t>概率论与数理统计</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大学物理</w:t>
            </w:r>
            <w:r>
              <w:rPr>
                <w:color w:val="auto"/>
                <w:kern w:val="0"/>
                <w:sz w:val="20"/>
                <w:szCs w:val="20"/>
              </w:rPr>
              <w:t>B</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color w:val="auto"/>
                <w:sz w:val="20"/>
                <w:szCs w:val="20"/>
              </w:rPr>
              <w:t>模拟与数字电路设计</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color w:val="auto"/>
                <w:sz w:val="20"/>
                <w:szCs w:val="20"/>
              </w:rPr>
              <w:t>M</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sz w:val="20"/>
                <w:szCs w:val="20"/>
              </w:rPr>
              <w:t>物联网工程专业导论</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rFonts w:hint="eastAsia"/>
                <w:color w:val="auto"/>
                <w:kern w:val="0"/>
                <w:sz w:val="20"/>
                <w:szCs w:val="20"/>
              </w:rPr>
              <w:t>L</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计算机科学概论</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物联网工程基础</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rFonts w:hint="eastAsia"/>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rFonts w:hint="eastAsia"/>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高级语言程序设计</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面向对象程序设计</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color w:val="auto"/>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离散数学</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数据结构</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highlight w:val="yellow"/>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highlight w:val="yellow"/>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highlight w:val="yellow"/>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计算机网络</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数据库技术</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计算机组成原理</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操作系统</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ascii="宋体" w:hAnsi="宋体"/>
                <w:color w:val="auto"/>
                <w:kern w:val="0"/>
                <w:sz w:val="20"/>
                <w:szCs w:val="20"/>
              </w:rPr>
              <w:t>RFID</w:t>
            </w:r>
            <w:r>
              <w:rPr>
                <w:rFonts w:hint="eastAsia" w:ascii="宋体" w:hAnsi="宋体"/>
                <w:color w:val="auto"/>
                <w:kern w:val="0"/>
                <w:sz w:val="20"/>
                <w:szCs w:val="20"/>
              </w:rPr>
              <w:t>技术</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M</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算法设计与分析</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传感器原理</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M</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单片机原理</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M</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H</w:t>
            </w: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color w:val="auto"/>
                <w:sz w:val="20"/>
                <w:szCs w:val="20"/>
              </w:rPr>
              <w:t>M</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物联网专业外语</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L</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L</w:t>
            </w: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color w:val="auto"/>
                <w:kern w:val="0"/>
                <w:sz w:val="20"/>
                <w:szCs w:val="20"/>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嵌入式系统</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物联网系统项目设计</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color w:val="auto"/>
                <w:kern w:val="0"/>
                <w:sz w:val="20"/>
                <w:szCs w:val="20"/>
              </w:rPr>
              <w:t>L</w:t>
            </w: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color w:val="auto"/>
                <w:kern w:val="0"/>
                <w:sz w:val="20"/>
                <w:szCs w:val="20"/>
              </w:rPr>
              <w:t>L</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color w:val="auto"/>
                <w:sz w:val="20"/>
                <w:szCs w:val="20"/>
              </w:rPr>
              <w:t>M</w:t>
            </w: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传感网原理及应用</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M</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H</w:t>
            </w: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color w:val="auto"/>
                <w:kern w:val="0"/>
                <w:sz w:val="20"/>
                <w:szCs w:val="20"/>
              </w:rPr>
              <w:t>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网络协议分析</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L</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H</w:t>
            </w: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物联网工程规划与设计</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H</w:t>
            </w: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sz w:val="20"/>
                <w:szCs w:val="20"/>
              </w:rPr>
            </w:pPr>
            <w:r>
              <w:rPr>
                <w:rFonts w:hint="eastAsia"/>
                <w:color w:val="auto"/>
                <w:kern w:val="0"/>
                <w:sz w:val="20"/>
                <w:szCs w:val="20"/>
              </w:rPr>
              <w:t>L</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rFonts w:hint="eastAsia"/>
                <w:color w:val="auto"/>
                <w:kern w:val="0"/>
                <w:sz w:val="20"/>
                <w:szCs w:val="20"/>
              </w:rPr>
              <w:t>M</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color w:val="auto"/>
                <w:kern w:val="0"/>
                <w:sz w:val="20"/>
                <w:szCs w:val="20"/>
              </w:rPr>
              <w:t>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项目管理</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rFonts w:hint="eastAsia"/>
                <w:color w:val="auto"/>
                <w:kern w:val="0"/>
                <w:sz w:val="20"/>
                <w:szCs w:val="20"/>
              </w:rPr>
              <w:t>H</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信息安全技术</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M</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r>
              <w:rPr>
                <w:rFonts w:hint="eastAsia"/>
                <w:color w:val="auto"/>
                <w:sz w:val="20"/>
                <w:szCs w:val="20"/>
              </w:rPr>
              <w:t>M</w:t>
            </w: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rFonts w:hint="eastAsia"/>
                <w:color w:val="auto"/>
                <w:kern w:val="0"/>
                <w:sz w:val="20"/>
                <w:szCs w:val="20"/>
              </w:rPr>
              <w:t>L</w:t>
            </w: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701" w:type="dxa"/>
            <w:tcBorders>
              <w:top w:val="single" w:color="000000" w:sz="6" w:space="0"/>
              <w:left w:val="single" w:color="000000" w:sz="6" w:space="0"/>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物联网通信技术</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82"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kern w:val="0"/>
                <w:sz w:val="20"/>
                <w:szCs w:val="20"/>
              </w:rPr>
            </w:pPr>
            <w:r>
              <w:rPr>
                <w:rFonts w:hint="eastAsia"/>
                <w:color w:val="auto"/>
                <w:kern w:val="0"/>
                <w:sz w:val="20"/>
                <w:szCs w:val="20"/>
              </w:rPr>
              <w:t>H</w:t>
            </w:r>
          </w:p>
        </w:tc>
        <w:tc>
          <w:tcPr>
            <w:tcW w:w="64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8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54"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573"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8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r>
              <w:rPr>
                <w:rFonts w:hint="eastAsia"/>
                <w:color w:val="auto"/>
                <w:kern w:val="0"/>
                <w:sz w:val="20"/>
                <w:szCs w:val="20"/>
              </w:rPr>
              <w:t>L</w:t>
            </w:r>
          </w:p>
        </w:tc>
        <w:tc>
          <w:tcPr>
            <w:tcW w:w="696"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c>
          <w:tcPr>
            <w:tcW w:w="545"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41"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jc w:val="center"/>
              <w:rPr>
                <w:color w:val="auto"/>
                <w:sz w:val="20"/>
                <w:szCs w:val="20"/>
              </w:rPr>
            </w:pPr>
          </w:p>
        </w:tc>
        <w:tc>
          <w:tcPr>
            <w:tcW w:w="627" w:type="dxa"/>
            <w:tcBorders>
              <w:top w:val="single" w:color="000000" w:sz="6" w:space="0"/>
              <w:left w:val="nil"/>
              <w:bottom w:val="single" w:color="000000" w:sz="6" w:space="0"/>
              <w:right w:val="single" w:color="000000" w:sz="6" w:space="0"/>
            </w:tcBorders>
            <w:shd w:val="clear" w:color="auto" w:fill="FFFFFF"/>
            <w:tcMar>
              <w:top w:w="0" w:type="dxa"/>
              <w:left w:w="144" w:type="dxa"/>
              <w:bottom w:w="0" w:type="dxa"/>
              <w:right w:w="144" w:type="dxa"/>
            </w:tcMar>
            <w:vAlign w:val="center"/>
          </w:tcPr>
          <w:p>
            <w:pPr>
              <w:widowControl/>
              <w:jc w:val="center"/>
              <w:textAlignment w:val="center"/>
              <w:rPr>
                <w:color w:val="auto"/>
                <w:kern w:val="0"/>
                <w:sz w:val="20"/>
                <w:szCs w:val="20"/>
              </w:rPr>
            </w:pPr>
          </w:p>
        </w:tc>
      </w:tr>
      <w:bookmarkEnd w:id="0"/>
    </w:tbl>
    <w:p>
      <w:pPr>
        <w:spacing w:line="500" w:lineRule="exact"/>
        <w:ind w:firstLine="420" w:firstLineChars="200"/>
        <w:rPr>
          <w:szCs w:val="21"/>
        </w:rPr>
      </w:pPr>
      <w:r>
        <w:rPr>
          <w:rFonts w:hint="eastAsia" w:ascii="宋体" w:hAnsi="宋体"/>
        </w:rPr>
        <w:t>注：表中教学环节：课程、实践环节、训练等，需写出课程的具体名称；根据课程对各项毕业</w:t>
      </w:r>
    </w:p>
    <w:p>
      <w:pPr>
        <w:spacing w:line="500" w:lineRule="exact"/>
        <w:ind w:firstLine="420" w:firstLineChars="200"/>
      </w:pPr>
      <w:r>
        <w:t xml:space="preserve"> </w:t>
      </w:r>
    </w:p>
    <w:p>
      <w:pPr>
        <w:spacing w:line="500" w:lineRule="exact"/>
        <w:ind w:firstLine="420" w:firstLineChars="200"/>
      </w:pPr>
      <w:r>
        <w:rPr>
          <w:rFonts w:hint="eastAsia" w:ascii="宋体" w:hAnsi="宋体"/>
        </w:rPr>
        <w:t>要求的支撑强度分别用</w:t>
      </w:r>
      <w:r>
        <w:rPr>
          <w:rFonts w:hint="eastAsia"/>
        </w:rPr>
        <w:t>“H</w:t>
      </w:r>
      <w:r>
        <w:rPr>
          <w:rFonts w:hint="eastAsia" w:ascii="宋体" w:hAnsi="宋体"/>
        </w:rPr>
        <w:t>（高）、</w:t>
      </w:r>
      <w:r>
        <w:rPr>
          <w:rFonts w:hint="eastAsia"/>
        </w:rPr>
        <w:t>M</w:t>
      </w:r>
      <w:r>
        <w:rPr>
          <w:rFonts w:hint="eastAsia" w:ascii="宋体" w:hAnsi="宋体"/>
        </w:rPr>
        <w:t>（中）、</w:t>
      </w:r>
      <w:r>
        <w:rPr>
          <w:rFonts w:hint="eastAsia"/>
        </w:rPr>
        <w:t>L</w:t>
      </w:r>
      <w:r>
        <w:rPr>
          <w:rFonts w:hint="eastAsia" w:ascii="宋体" w:hAnsi="宋体"/>
        </w:rPr>
        <w:t>（弱）”表示课程对该毕业要求贡献度的大小。矩阵应覆盖所有必修环节。</w:t>
      </w:r>
    </w:p>
    <w:p>
      <w:pPr>
        <w:spacing w:line="500" w:lineRule="exact"/>
        <w:ind w:firstLine="420" w:firstLineChars="200"/>
        <w:rPr>
          <w:rFonts w:eastAsia="黑体"/>
          <w:sz w:val="24"/>
        </w:rPr>
        <w:sectPr>
          <w:pgSz w:w="11906" w:h="16838"/>
          <w:pgMar w:top="1417" w:right="1417" w:bottom="1134" w:left="1417" w:header="851" w:footer="992" w:gutter="0"/>
          <w:cols w:space="720" w:num="1"/>
          <w:docGrid w:type="lines" w:linePitch="317" w:charSpace="0"/>
        </w:sectPr>
      </w:pPr>
      <w:r>
        <w:rPr>
          <w:rFonts w:hint="eastAsia" w:ascii="宋体" w:hAnsi="宋体"/>
        </w:rPr>
        <w:t>明确每门课程在支持毕业要求中的角色定位。重点支撑的课程（</w:t>
      </w:r>
      <w:r>
        <w:rPr>
          <w:rFonts w:hint="eastAsia"/>
        </w:rPr>
        <w:t>H</w:t>
      </w:r>
      <w:r>
        <w:rPr>
          <w:rFonts w:hint="eastAsia" w:ascii="宋体" w:hAnsi="宋体"/>
        </w:rPr>
        <w:t>），应当对该毕业要求项下的指标点形成系统支持，可用于毕业要求评价。</w:t>
      </w:r>
    </w:p>
    <w:p>
      <w:pPr>
        <w:rPr>
          <w:rFonts w:eastAsia="黑体"/>
          <w:sz w:val="24"/>
        </w:rPr>
      </w:pPr>
      <w:r>
        <w:rPr>
          <w:rFonts w:hint="eastAsia" w:eastAsia="黑体"/>
          <w:sz w:val="24"/>
        </w:rPr>
        <w:t>十、课程开课顺序流程图（课程地图）</w:t>
      </w:r>
    </w:p>
    <w:p>
      <w:pPr>
        <w:rPr>
          <w:rFonts w:eastAsia="黑体"/>
          <w:sz w:val="24"/>
        </w:rPr>
      </w:pPr>
      <w:r>
        <w:object>
          <v:shape id="_x0000_i1025" o:spt="75" type="#_x0000_t75" style="height:498.65pt;width:768.6pt;" o:ole="t" filled="f" o:preferrelative="t" stroked="f" coordsize="21600,21600">
            <v:path/>
            <v:fill on="f" focussize="0,0"/>
            <v:stroke on="f" joinstyle="miter"/>
            <v:imagedata r:id="rId7" o:title=""/>
            <o:lock v:ext="edit" aspectratio="t"/>
            <w10:wrap type="none"/>
            <w10:anchorlock/>
          </v:shape>
          <o:OLEObject Type="Embed" ProgID="Visio.Drawing.15" ShapeID="_x0000_i1025" DrawAspect="Content" ObjectID="_1468075725" r:id="rId6">
            <o:LockedField>false</o:LockedField>
          </o:OLEObject>
        </w:object>
      </w:r>
    </w:p>
    <w:sectPr>
      <w:footerReference r:id="rId4" w:type="default"/>
      <w:pgSz w:w="16838" w:h="11906" w:orient="landscape"/>
      <w:pgMar w:top="720" w:right="720" w:bottom="720" w:left="720" w:header="567" w:footer="567"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67310" cy="153035"/>
              <wp:effectExtent l="0" t="0" r="8890" b="18415"/>
              <wp:wrapNone/>
              <wp:docPr id="1" name="文本框 4"/>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9</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4" o:spid="_x0000_s1026" o:spt="202" type="#_x0000_t202" style="position:absolute;left:0pt;margin-top:0pt;height:12.05pt;width:5.3pt;mso-position-horizontal:outside;mso-position-horizontal-relative:margin;mso-wrap-style:none;z-index:251658240;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nqzVF0AAA&#10;AAMBAAAPAAAAAAAAAAEAIAAAACIAAABkcnMvZG93bnJldi54bWxQSwECFAAUAAAACACHTuJA4GxI&#10;Xu0BAACzAwAADgAAAAAAAAABACAAAAAfAQAAZHJzL2Uyb0RvYy54bWxQSwUGAAAAAAYABgBZAQAA&#10;f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9</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B4B"/>
    <w:rsid w:val="00001B01"/>
    <w:rsid w:val="00005157"/>
    <w:rsid w:val="00011A26"/>
    <w:rsid w:val="00024F13"/>
    <w:rsid w:val="00040BFD"/>
    <w:rsid w:val="000445B4"/>
    <w:rsid w:val="00054BBE"/>
    <w:rsid w:val="000878DD"/>
    <w:rsid w:val="00090C0C"/>
    <w:rsid w:val="000D0FFD"/>
    <w:rsid w:val="000D437A"/>
    <w:rsid w:val="000E1295"/>
    <w:rsid w:val="0010160B"/>
    <w:rsid w:val="00104B6A"/>
    <w:rsid w:val="00113D4C"/>
    <w:rsid w:val="00137EE3"/>
    <w:rsid w:val="00147091"/>
    <w:rsid w:val="00160DB9"/>
    <w:rsid w:val="00161849"/>
    <w:rsid w:val="00196D72"/>
    <w:rsid w:val="001971E9"/>
    <w:rsid w:val="001A1228"/>
    <w:rsid w:val="001A2B29"/>
    <w:rsid w:val="00220283"/>
    <w:rsid w:val="002310EF"/>
    <w:rsid w:val="002B2C0D"/>
    <w:rsid w:val="002D2DAA"/>
    <w:rsid w:val="003179F8"/>
    <w:rsid w:val="003232E2"/>
    <w:rsid w:val="00351FC0"/>
    <w:rsid w:val="003B4BC4"/>
    <w:rsid w:val="003B5B35"/>
    <w:rsid w:val="003C0C8D"/>
    <w:rsid w:val="003C2770"/>
    <w:rsid w:val="003C6D44"/>
    <w:rsid w:val="003D0B95"/>
    <w:rsid w:val="003E68F5"/>
    <w:rsid w:val="003E782C"/>
    <w:rsid w:val="00416CE4"/>
    <w:rsid w:val="004227CC"/>
    <w:rsid w:val="00427C09"/>
    <w:rsid w:val="00432ADE"/>
    <w:rsid w:val="00434D29"/>
    <w:rsid w:val="004572F2"/>
    <w:rsid w:val="00471774"/>
    <w:rsid w:val="00496839"/>
    <w:rsid w:val="004B0306"/>
    <w:rsid w:val="004E61FE"/>
    <w:rsid w:val="004F790E"/>
    <w:rsid w:val="005164FB"/>
    <w:rsid w:val="005244F0"/>
    <w:rsid w:val="00527DDC"/>
    <w:rsid w:val="00540ECE"/>
    <w:rsid w:val="00592E1C"/>
    <w:rsid w:val="005A6C30"/>
    <w:rsid w:val="005D1269"/>
    <w:rsid w:val="005E0C2E"/>
    <w:rsid w:val="005E4F37"/>
    <w:rsid w:val="00611057"/>
    <w:rsid w:val="0062764B"/>
    <w:rsid w:val="00651D08"/>
    <w:rsid w:val="00675C4D"/>
    <w:rsid w:val="00683D20"/>
    <w:rsid w:val="006842AE"/>
    <w:rsid w:val="00687BD6"/>
    <w:rsid w:val="0069269F"/>
    <w:rsid w:val="006C35D5"/>
    <w:rsid w:val="006C5BCA"/>
    <w:rsid w:val="006E50C3"/>
    <w:rsid w:val="006F1439"/>
    <w:rsid w:val="006F49B9"/>
    <w:rsid w:val="006F4AF8"/>
    <w:rsid w:val="006F5881"/>
    <w:rsid w:val="0070673E"/>
    <w:rsid w:val="00753805"/>
    <w:rsid w:val="007712F0"/>
    <w:rsid w:val="0077297B"/>
    <w:rsid w:val="00772E97"/>
    <w:rsid w:val="007A7898"/>
    <w:rsid w:val="007B7CEF"/>
    <w:rsid w:val="00806150"/>
    <w:rsid w:val="00806790"/>
    <w:rsid w:val="008215CC"/>
    <w:rsid w:val="008541D2"/>
    <w:rsid w:val="00861E08"/>
    <w:rsid w:val="00885294"/>
    <w:rsid w:val="008A28A0"/>
    <w:rsid w:val="008C4D21"/>
    <w:rsid w:val="008D7232"/>
    <w:rsid w:val="008E7EBF"/>
    <w:rsid w:val="00917727"/>
    <w:rsid w:val="0092580C"/>
    <w:rsid w:val="00960690"/>
    <w:rsid w:val="00976376"/>
    <w:rsid w:val="009B166F"/>
    <w:rsid w:val="009C059F"/>
    <w:rsid w:val="009C0B7F"/>
    <w:rsid w:val="009F1632"/>
    <w:rsid w:val="00A004EF"/>
    <w:rsid w:val="00A16044"/>
    <w:rsid w:val="00A37EAA"/>
    <w:rsid w:val="00A61CAB"/>
    <w:rsid w:val="00A66590"/>
    <w:rsid w:val="00A918A4"/>
    <w:rsid w:val="00AD428B"/>
    <w:rsid w:val="00B13F22"/>
    <w:rsid w:val="00B1753B"/>
    <w:rsid w:val="00B362CA"/>
    <w:rsid w:val="00B61207"/>
    <w:rsid w:val="00B641CF"/>
    <w:rsid w:val="00B70A77"/>
    <w:rsid w:val="00B745A7"/>
    <w:rsid w:val="00B818B5"/>
    <w:rsid w:val="00B84694"/>
    <w:rsid w:val="00BB42D9"/>
    <w:rsid w:val="00BE5613"/>
    <w:rsid w:val="00BF03DE"/>
    <w:rsid w:val="00BF3440"/>
    <w:rsid w:val="00C14B29"/>
    <w:rsid w:val="00C47B01"/>
    <w:rsid w:val="00C50495"/>
    <w:rsid w:val="00C55550"/>
    <w:rsid w:val="00C66183"/>
    <w:rsid w:val="00C66BD6"/>
    <w:rsid w:val="00C902D2"/>
    <w:rsid w:val="00C93C2A"/>
    <w:rsid w:val="00C947F1"/>
    <w:rsid w:val="00CA78D4"/>
    <w:rsid w:val="00CD48A1"/>
    <w:rsid w:val="00CE76EB"/>
    <w:rsid w:val="00D1796E"/>
    <w:rsid w:val="00D223CD"/>
    <w:rsid w:val="00D372E5"/>
    <w:rsid w:val="00D46830"/>
    <w:rsid w:val="00D76B4B"/>
    <w:rsid w:val="00DA236C"/>
    <w:rsid w:val="00E003D0"/>
    <w:rsid w:val="00E135A6"/>
    <w:rsid w:val="00E23872"/>
    <w:rsid w:val="00E4057A"/>
    <w:rsid w:val="00E85A18"/>
    <w:rsid w:val="00E94A1C"/>
    <w:rsid w:val="00EA7918"/>
    <w:rsid w:val="00EC635B"/>
    <w:rsid w:val="00F04B61"/>
    <w:rsid w:val="00F11307"/>
    <w:rsid w:val="00F246CB"/>
    <w:rsid w:val="00FC69FF"/>
    <w:rsid w:val="023E4322"/>
    <w:rsid w:val="04C70BE3"/>
    <w:rsid w:val="061F2451"/>
    <w:rsid w:val="0BF00411"/>
    <w:rsid w:val="0D0157CB"/>
    <w:rsid w:val="0F217D96"/>
    <w:rsid w:val="0F53200D"/>
    <w:rsid w:val="10046C4D"/>
    <w:rsid w:val="108E7DA3"/>
    <w:rsid w:val="115E1A4C"/>
    <w:rsid w:val="15F6785D"/>
    <w:rsid w:val="16390E6B"/>
    <w:rsid w:val="18107F36"/>
    <w:rsid w:val="183D050E"/>
    <w:rsid w:val="18663791"/>
    <w:rsid w:val="2056395E"/>
    <w:rsid w:val="21081157"/>
    <w:rsid w:val="241D374A"/>
    <w:rsid w:val="24794790"/>
    <w:rsid w:val="24A83ACE"/>
    <w:rsid w:val="2D8754CA"/>
    <w:rsid w:val="2FB62143"/>
    <w:rsid w:val="30544FD6"/>
    <w:rsid w:val="30F25991"/>
    <w:rsid w:val="33693D81"/>
    <w:rsid w:val="34C44A9E"/>
    <w:rsid w:val="35643D39"/>
    <w:rsid w:val="356643BA"/>
    <w:rsid w:val="366634A8"/>
    <w:rsid w:val="36901318"/>
    <w:rsid w:val="386A7DA8"/>
    <w:rsid w:val="38ED4849"/>
    <w:rsid w:val="391F65FD"/>
    <w:rsid w:val="39C675D5"/>
    <w:rsid w:val="39D318C7"/>
    <w:rsid w:val="3AAA260A"/>
    <w:rsid w:val="3C62272C"/>
    <w:rsid w:val="3C8553DB"/>
    <w:rsid w:val="3C924D0E"/>
    <w:rsid w:val="3CDA36A3"/>
    <w:rsid w:val="3E775DA1"/>
    <w:rsid w:val="3FD62667"/>
    <w:rsid w:val="40BB2352"/>
    <w:rsid w:val="419535CA"/>
    <w:rsid w:val="428A4C32"/>
    <w:rsid w:val="4AF92A4D"/>
    <w:rsid w:val="4B964FD3"/>
    <w:rsid w:val="50E3680B"/>
    <w:rsid w:val="51FA5463"/>
    <w:rsid w:val="52E96B64"/>
    <w:rsid w:val="536E56D6"/>
    <w:rsid w:val="5401445C"/>
    <w:rsid w:val="59A97691"/>
    <w:rsid w:val="5A9D2422"/>
    <w:rsid w:val="5B6F1DC9"/>
    <w:rsid w:val="5D4418E1"/>
    <w:rsid w:val="5DC85910"/>
    <w:rsid w:val="5E286885"/>
    <w:rsid w:val="5E30443F"/>
    <w:rsid w:val="5F011456"/>
    <w:rsid w:val="5F5A62F7"/>
    <w:rsid w:val="5FEC6CB5"/>
    <w:rsid w:val="62544E9B"/>
    <w:rsid w:val="64A71CB3"/>
    <w:rsid w:val="658625C1"/>
    <w:rsid w:val="661261C7"/>
    <w:rsid w:val="685A3922"/>
    <w:rsid w:val="69A944C7"/>
    <w:rsid w:val="69AF142E"/>
    <w:rsid w:val="6BD42307"/>
    <w:rsid w:val="6E0C4FB2"/>
    <w:rsid w:val="6FEF347D"/>
    <w:rsid w:val="6FFD7E48"/>
    <w:rsid w:val="71126082"/>
    <w:rsid w:val="712D4B39"/>
    <w:rsid w:val="71B97B9E"/>
    <w:rsid w:val="729E0172"/>
    <w:rsid w:val="750C59CF"/>
    <w:rsid w:val="768B6264"/>
    <w:rsid w:val="7E237B0F"/>
    <w:rsid w:val="7FF56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link w:val="21"/>
    <w:qFormat/>
    <w:uiPriority w:val="0"/>
    <w:pPr>
      <w:spacing w:line="400" w:lineRule="exact"/>
      <w:ind w:firstLine="435"/>
    </w:pPr>
    <w:rPr>
      <w:sz w:val="28"/>
    </w:rPr>
  </w:style>
  <w:style w:type="paragraph" w:styleId="4">
    <w:name w:val="Balloon Text"/>
    <w:basedOn w:val="1"/>
    <w:link w:val="2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99"/>
    <w:pPr>
      <w:spacing w:before="100" w:beforeAutospacing="1" w:after="100" w:afterAutospacing="1"/>
      <w:jc w:val="left"/>
    </w:pPr>
    <w:rPr>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 w:type="character" w:customStyle="1" w:styleId="12">
    <w:name w:val="font81"/>
    <w:qFormat/>
    <w:uiPriority w:val="0"/>
    <w:rPr>
      <w:rFonts w:hint="eastAsia" w:ascii="宋体" w:hAnsi="宋体" w:eastAsia="宋体" w:cs="宋体"/>
      <w:color w:val="000000"/>
      <w:sz w:val="16"/>
      <w:szCs w:val="16"/>
      <w:u w:val="none"/>
    </w:rPr>
  </w:style>
  <w:style w:type="character" w:customStyle="1" w:styleId="13">
    <w:name w:val="font91"/>
    <w:qFormat/>
    <w:uiPriority w:val="0"/>
    <w:rPr>
      <w:rFonts w:hint="default" w:ascii="Times New Roman" w:hAnsi="Times New Roman" w:cs="Times New Roman"/>
      <w:color w:val="FF0000"/>
      <w:sz w:val="16"/>
      <w:szCs w:val="16"/>
      <w:u w:val="none"/>
    </w:rPr>
  </w:style>
  <w:style w:type="character" w:customStyle="1" w:styleId="14">
    <w:name w:val="font111"/>
    <w:qFormat/>
    <w:uiPriority w:val="0"/>
    <w:rPr>
      <w:rFonts w:hint="eastAsia" w:ascii="宋体" w:hAnsi="宋体" w:eastAsia="宋体" w:cs="宋体"/>
      <w:color w:val="FF0000"/>
      <w:sz w:val="16"/>
      <w:szCs w:val="16"/>
      <w:u w:val="none"/>
    </w:rPr>
  </w:style>
  <w:style w:type="character" w:customStyle="1" w:styleId="15">
    <w:name w:val="font21"/>
    <w:qFormat/>
    <w:uiPriority w:val="0"/>
    <w:rPr>
      <w:rFonts w:hint="default" w:ascii="Times New Roman" w:hAnsi="Times New Roman" w:cs="Times New Roman"/>
      <w:color w:val="000000"/>
      <w:sz w:val="16"/>
      <w:szCs w:val="16"/>
      <w:u w:val="none"/>
    </w:rPr>
  </w:style>
  <w:style w:type="character" w:customStyle="1" w:styleId="16">
    <w:name w:val="font121"/>
    <w:qFormat/>
    <w:uiPriority w:val="0"/>
    <w:rPr>
      <w:rFonts w:hint="default" w:ascii="Times New Roman" w:hAnsi="Times New Roman" w:cs="Times New Roman"/>
      <w:color w:val="FF0000"/>
      <w:sz w:val="16"/>
      <w:szCs w:val="16"/>
      <w:u w:val="none"/>
    </w:rPr>
  </w:style>
  <w:style w:type="character" w:customStyle="1" w:styleId="17">
    <w:name w:val="font31"/>
    <w:qFormat/>
    <w:uiPriority w:val="0"/>
    <w:rPr>
      <w:rFonts w:hint="eastAsia" w:ascii="宋体" w:hAnsi="宋体" w:eastAsia="宋体" w:cs="宋体"/>
      <w:b/>
      <w:color w:val="000000"/>
      <w:sz w:val="16"/>
      <w:szCs w:val="16"/>
      <w:u w:val="none"/>
    </w:rPr>
  </w:style>
  <w:style w:type="character" w:customStyle="1" w:styleId="18">
    <w:name w:val="font141"/>
    <w:qFormat/>
    <w:uiPriority w:val="0"/>
    <w:rPr>
      <w:rFonts w:hint="eastAsia" w:ascii="宋体" w:hAnsi="宋体" w:eastAsia="宋体" w:cs="宋体"/>
      <w:color w:val="000000"/>
      <w:sz w:val="16"/>
      <w:szCs w:val="16"/>
      <w:u w:val="none"/>
    </w:rPr>
  </w:style>
  <w:style w:type="paragraph" w:customStyle="1" w:styleId="19">
    <w:name w:val="Char"/>
    <w:basedOn w:val="1"/>
    <w:qFormat/>
    <w:uiPriority w:val="0"/>
    <w:pPr>
      <w:widowControl/>
      <w:spacing w:after="160" w:line="240" w:lineRule="exact"/>
      <w:jc w:val="left"/>
    </w:pPr>
    <w:rPr>
      <w:szCs w:val="21"/>
    </w:rPr>
  </w:style>
  <w:style w:type="paragraph" w:customStyle="1" w:styleId="20">
    <w:name w:val="Char Char Char Char"/>
    <w:basedOn w:val="1"/>
    <w:qFormat/>
    <w:uiPriority w:val="0"/>
    <w:rPr>
      <w:szCs w:val="20"/>
    </w:rPr>
  </w:style>
  <w:style w:type="character" w:customStyle="1" w:styleId="21">
    <w:name w:val="正文文本缩进 2 Char"/>
    <w:basedOn w:val="10"/>
    <w:link w:val="3"/>
    <w:qFormat/>
    <w:uiPriority w:val="0"/>
    <w:rPr>
      <w:kern w:val="2"/>
      <w:sz w:val="28"/>
      <w:szCs w:val="24"/>
    </w:rPr>
  </w:style>
  <w:style w:type="paragraph" w:customStyle="1" w:styleId="22">
    <w:name w:val="列出段落1"/>
    <w:basedOn w:val="1"/>
    <w:qFormat/>
    <w:uiPriority w:val="0"/>
    <w:pPr>
      <w:ind w:left="480" w:leftChars="200"/>
    </w:pPr>
  </w:style>
  <w:style w:type="character" w:customStyle="1" w:styleId="23">
    <w:name w:val="批注框文本 Char"/>
    <w:basedOn w:val="10"/>
    <w:link w:val="4"/>
    <w:qFormat/>
    <w:uiPriority w:val="0"/>
    <w:rPr>
      <w:kern w:val="2"/>
      <w:sz w:val="18"/>
      <w:szCs w:val="18"/>
    </w:rPr>
  </w:style>
  <w:style w:type="character" w:customStyle="1" w:styleId="24">
    <w:name w:val="font01"/>
    <w:basedOn w:val="10"/>
    <w:qFormat/>
    <w:uiPriority w:val="0"/>
    <w:rPr>
      <w:rFonts w:hint="eastAsia" w:ascii="宋体" w:hAnsi="宋体" w:eastAsia="宋体" w:cs="宋体"/>
      <w:color w:val="000000"/>
      <w:sz w:val="16"/>
      <w:szCs w:val="16"/>
      <w:u w:val="none"/>
    </w:rPr>
  </w:style>
  <w:style w:type="character" w:customStyle="1" w:styleId="25">
    <w:name w:val="font11"/>
    <w:basedOn w:val="10"/>
    <w:qFormat/>
    <w:uiPriority w:val="0"/>
    <w:rPr>
      <w:rFonts w:hint="default" w:ascii="Times New Roman" w:hAnsi="Times New Roman" w:cs="Times New Roman"/>
      <w:color w:val="000000"/>
      <w:sz w:val="16"/>
      <w:szCs w:val="16"/>
      <w:u w:val="none"/>
    </w:rPr>
  </w:style>
  <w:style w:type="paragraph" w:styleId="26">
    <w:name w:val="List Paragraph"/>
    <w:basedOn w:val="1"/>
    <w:unhideWhenUsed/>
    <w:qFormat/>
    <w:uiPriority w:val="99"/>
    <w:pPr>
      <w:ind w:firstLine="420" w:firstLineChars="200"/>
    </w:pPr>
  </w:style>
  <w:style w:type="character" w:customStyle="1" w:styleId="27">
    <w:name w:val="15"/>
    <w:basedOn w:val="10"/>
    <w:qFormat/>
    <w:uiPriority w:val="0"/>
    <w:rPr>
      <w:rFonts w:hint="eastAsia" w:ascii="宋体" w:hAnsi="宋体" w:eastAsia="宋体"/>
      <w:color w:val="000000"/>
      <w:sz w:val="16"/>
      <w:szCs w:val="16"/>
    </w:rPr>
  </w:style>
  <w:style w:type="character" w:customStyle="1" w:styleId="28">
    <w:name w:val="font61"/>
    <w:basedOn w:val="10"/>
    <w:qFormat/>
    <w:uiPriority w:val="0"/>
    <w:rPr>
      <w:rFonts w:hint="default" w:ascii="Times New Roman" w:hAnsi="Times New Roman" w:cs="Times New Roman"/>
      <w:color w:val="000000"/>
      <w:sz w:val="20"/>
      <w:szCs w:val="20"/>
      <w:u w:val="none"/>
    </w:rPr>
  </w:style>
  <w:style w:type="character" w:customStyle="1" w:styleId="29">
    <w:name w:val="font5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11</Pages>
  <Words>1257</Words>
  <Characters>7167</Characters>
  <Lines>59</Lines>
  <Paragraphs>16</Paragraphs>
  <TotalTime>34</TotalTime>
  <ScaleCrop>false</ScaleCrop>
  <LinksUpToDate>false</LinksUpToDate>
  <CharactersWithSpaces>8408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2019-06-23T13:28:00Z</dcterms:created>
  <dc:creator>教务处秘书</dc:creator>
  <cp:lastModifiedBy>neumann</cp:lastModifiedBy>
  <cp:lastPrinted>2019-05-22T06:07:00Z</cp:lastPrinted>
  <dcterms:modified xsi:type="dcterms:W3CDTF">2019-09-20T06:01:19Z</dcterms:modified>
  <dc:title>泉州师范学院关于第七届高等教育教学成果奖励评选结果和推荐申报省级优秀教学成果奖的公示</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