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25" w:rsidRDefault="005F285D" w:rsidP="00171F25">
      <w:pPr>
        <w:pStyle w:val="a9"/>
        <w:spacing w:line="360" w:lineRule="auto"/>
        <w:ind w:left="5250"/>
        <w:rPr>
          <w:rFonts w:hAnsi="宋体"/>
          <w:b/>
          <w:bCs/>
          <w:sz w:val="52"/>
          <w:szCs w:val="52"/>
        </w:rPr>
      </w:pPr>
      <w:r>
        <w:rPr>
          <w:rFonts w:hAnsi="宋体"/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386715</wp:posOffset>
            </wp:positionV>
            <wp:extent cx="2012950" cy="1733550"/>
            <wp:effectExtent l="19050" t="0" r="6350" b="0"/>
            <wp:wrapNone/>
            <wp:docPr id="2" name="图片 2" descr="中英文简称叠排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英文简称叠排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F25" w:rsidRDefault="00171F25" w:rsidP="00171F25">
      <w:pPr>
        <w:pStyle w:val="a9"/>
        <w:spacing w:line="360" w:lineRule="auto"/>
        <w:ind w:left="5250"/>
        <w:rPr>
          <w:rFonts w:hAnsi="宋体" w:hint="eastAsia"/>
          <w:b/>
          <w:bCs/>
          <w:sz w:val="52"/>
          <w:szCs w:val="52"/>
        </w:rPr>
      </w:pPr>
    </w:p>
    <w:p w:rsidR="005F285D" w:rsidRDefault="005F285D" w:rsidP="00171F25">
      <w:pPr>
        <w:pStyle w:val="a9"/>
        <w:spacing w:line="360" w:lineRule="auto"/>
        <w:ind w:left="5250"/>
        <w:rPr>
          <w:rFonts w:hAnsi="宋体" w:hint="eastAsia"/>
          <w:b/>
          <w:bCs/>
          <w:sz w:val="52"/>
          <w:szCs w:val="52"/>
        </w:rPr>
      </w:pPr>
    </w:p>
    <w:p w:rsidR="005F285D" w:rsidRDefault="005F285D" w:rsidP="00171F25">
      <w:pPr>
        <w:pStyle w:val="a9"/>
        <w:spacing w:line="360" w:lineRule="auto"/>
        <w:ind w:left="5250"/>
        <w:rPr>
          <w:rFonts w:hAnsi="宋体"/>
          <w:b/>
          <w:bCs/>
          <w:sz w:val="52"/>
          <w:szCs w:val="52"/>
        </w:rPr>
      </w:pPr>
    </w:p>
    <w:p w:rsidR="00171F25" w:rsidRDefault="00171F25" w:rsidP="00171F25">
      <w:pPr>
        <w:widowControl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2014年泰康</w:t>
      </w:r>
      <w:r w:rsidR="005F285D">
        <w:rPr>
          <w:rFonts w:ascii="宋体" w:hAnsi="宋体" w:hint="eastAsia"/>
          <w:b/>
          <w:bCs/>
          <w:sz w:val="52"/>
          <w:szCs w:val="52"/>
        </w:rPr>
        <w:t>人寿</w:t>
      </w:r>
      <w:r>
        <w:rPr>
          <w:rFonts w:ascii="宋体" w:hAnsi="宋体" w:hint="eastAsia"/>
          <w:b/>
          <w:bCs/>
          <w:sz w:val="52"/>
          <w:szCs w:val="52"/>
        </w:rPr>
        <w:t>保险股份有限公司</w:t>
      </w:r>
    </w:p>
    <w:p w:rsidR="00171F25" w:rsidRPr="00A50D76" w:rsidRDefault="00171F25" w:rsidP="00171F25">
      <w:pPr>
        <w:pStyle w:val="a9"/>
        <w:spacing w:line="360" w:lineRule="auto"/>
        <w:jc w:val="center"/>
        <w:rPr>
          <w:rFonts w:hAnsi="宋体"/>
          <w:b/>
          <w:bCs/>
          <w:sz w:val="52"/>
          <w:szCs w:val="52"/>
        </w:rPr>
      </w:pPr>
      <w:r>
        <w:rPr>
          <w:rFonts w:hAnsi="宋体" w:hint="eastAsia"/>
          <w:b/>
          <w:bCs/>
          <w:sz w:val="52"/>
          <w:szCs w:val="52"/>
        </w:rPr>
        <w:t>客户服务节宣传计划</w:t>
      </w:r>
    </w:p>
    <w:p w:rsidR="00171F25" w:rsidRDefault="00171F25" w:rsidP="00171F25">
      <w:pPr>
        <w:pStyle w:val="a9"/>
        <w:spacing w:line="360" w:lineRule="auto"/>
        <w:rPr>
          <w:rFonts w:hAnsi="宋体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212090</wp:posOffset>
            </wp:positionV>
            <wp:extent cx="6076950" cy="2619375"/>
            <wp:effectExtent l="19050" t="0" r="0" b="0"/>
            <wp:wrapNone/>
            <wp:docPr id="4" name="图片 2" descr="taikang1109b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ikang1109ban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F25" w:rsidRDefault="00171F25" w:rsidP="00171F25">
      <w:pPr>
        <w:pStyle w:val="a9"/>
        <w:spacing w:line="360" w:lineRule="auto"/>
        <w:jc w:val="center"/>
        <w:rPr>
          <w:rFonts w:hAnsi="宋体"/>
          <w:b/>
          <w:bCs/>
          <w:sz w:val="44"/>
          <w:szCs w:val="44"/>
        </w:rPr>
      </w:pPr>
    </w:p>
    <w:p w:rsidR="00171F25" w:rsidRDefault="00171F25" w:rsidP="00171F25">
      <w:pPr>
        <w:pStyle w:val="a9"/>
        <w:spacing w:line="360" w:lineRule="auto"/>
        <w:jc w:val="center"/>
        <w:rPr>
          <w:rFonts w:hAnsi="宋体"/>
          <w:b/>
          <w:bCs/>
          <w:sz w:val="44"/>
          <w:szCs w:val="44"/>
        </w:rPr>
      </w:pPr>
    </w:p>
    <w:p w:rsidR="00171F25" w:rsidRDefault="00171F25" w:rsidP="00171F2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171F25" w:rsidRDefault="00171F25" w:rsidP="00171F2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171F25" w:rsidRDefault="00171F25" w:rsidP="00171F2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171F25" w:rsidRDefault="00171F25" w:rsidP="00171F2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171F25" w:rsidRDefault="00171F25" w:rsidP="00171F25">
      <w:pPr>
        <w:spacing w:line="360" w:lineRule="auto"/>
        <w:jc w:val="center"/>
        <w:rPr>
          <w:b/>
          <w:sz w:val="28"/>
          <w:szCs w:val="28"/>
        </w:rPr>
      </w:pPr>
    </w:p>
    <w:p w:rsidR="00171F25" w:rsidRDefault="00171F25" w:rsidP="00171F25">
      <w:pPr>
        <w:spacing w:line="360" w:lineRule="auto"/>
        <w:jc w:val="center"/>
        <w:rPr>
          <w:b/>
          <w:sz w:val="28"/>
          <w:szCs w:val="28"/>
        </w:rPr>
      </w:pPr>
    </w:p>
    <w:p w:rsidR="00171F25" w:rsidRDefault="00171F25" w:rsidP="00171F25">
      <w:pPr>
        <w:spacing w:line="360" w:lineRule="auto"/>
        <w:jc w:val="center"/>
        <w:rPr>
          <w:b/>
          <w:sz w:val="28"/>
          <w:szCs w:val="28"/>
        </w:rPr>
      </w:pPr>
    </w:p>
    <w:p w:rsidR="00171F25" w:rsidRDefault="00171F25" w:rsidP="00171F2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泰康</w:t>
      </w:r>
      <w:r w:rsidR="005F285D">
        <w:rPr>
          <w:rFonts w:hint="eastAsia"/>
          <w:b/>
          <w:sz w:val="28"/>
          <w:szCs w:val="28"/>
        </w:rPr>
        <w:t>人寿</w:t>
      </w:r>
      <w:r>
        <w:rPr>
          <w:rFonts w:hint="eastAsia"/>
          <w:b/>
          <w:sz w:val="28"/>
          <w:szCs w:val="28"/>
        </w:rPr>
        <w:t>保险股份有限公司</w:t>
      </w:r>
      <w:r w:rsidR="005F285D">
        <w:rPr>
          <w:rFonts w:hint="eastAsia"/>
          <w:b/>
          <w:sz w:val="28"/>
          <w:szCs w:val="28"/>
        </w:rPr>
        <w:t>泉州中心支公司</w:t>
      </w:r>
    </w:p>
    <w:p w:rsidR="00171F25" w:rsidRDefault="00171F25" w:rsidP="00171F2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张浪潮</w:t>
      </w:r>
    </w:p>
    <w:p w:rsidR="00171F25" w:rsidRDefault="00171F25" w:rsidP="00171F2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13799504990</w:t>
      </w:r>
    </w:p>
    <w:p w:rsidR="00171F25" w:rsidRDefault="00171F25" w:rsidP="00171F25">
      <w:pPr>
        <w:spacing w:line="360" w:lineRule="auto"/>
        <w:jc w:val="center"/>
        <w:rPr>
          <w:b/>
          <w:sz w:val="28"/>
          <w:szCs w:val="28"/>
        </w:rPr>
      </w:pPr>
    </w:p>
    <w:p w:rsidR="00E8292C" w:rsidRPr="00E542CA" w:rsidRDefault="00E8292C" w:rsidP="00E8292C">
      <w:pPr>
        <w:widowControl/>
        <w:tabs>
          <w:tab w:val="left" w:pos="284"/>
        </w:tabs>
        <w:spacing w:line="48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尊敬</w:t>
      </w:r>
      <w:r w:rsidR="007B6800" w:rsidRPr="00E542CA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的</w:t>
      </w:r>
      <w:r w:rsidR="005F285D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泉州师范学院</w:t>
      </w:r>
      <w:r w:rsidRPr="00E542CA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领导：</w:t>
      </w:r>
    </w:p>
    <w:p w:rsidR="00F726D7" w:rsidRPr="00E542CA" w:rsidRDefault="00F726D7" w:rsidP="00E8292C">
      <w:pPr>
        <w:widowControl/>
        <w:tabs>
          <w:tab w:val="left" w:pos="284"/>
        </w:tabs>
        <w:spacing w:line="480" w:lineRule="auto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 您好！</w:t>
      </w:r>
    </w:p>
    <w:p w:rsidR="004B2929" w:rsidRPr="00E542CA" w:rsidRDefault="00E8292C" w:rsidP="00716C09">
      <w:pPr>
        <w:widowControl/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Arial" w:hint="eastAsia"/>
          <w:sz w:val="28"/>
          <w:szCs w:val="28"/>
        </w:rPr>
        <w:t>随着</w:t>
      </w:r>
      <w:r w:rsidR="00FD31EE">
        <w:rPr>
          <w:rFonts w:asciiTheme="minorEastAsia" w:eastAsiaTheme="minorEastAsia" w:hAnsiTheme="minorEastAsia" w:cs="Arial" w:hint="eastAsia"/>
          <w:sz w:val="28"/>
          <w:szCs w:val="28"/>
        </w:rPr>
        <w:t>我国交通运输日益发展</w:t>
      </w:r>
      <w:r w:rsidR="004B2929" w:rsidRPr="00E542CA">
        <w:rPr>
          <w:rFonts w:asciiTheme="minorEastAsia" w:eastAsiaTheme="minorEastAsia" w:hAnsiTheme="minorEastAsia" w:cs="Arial" w:hint="eastAsia"/>
          <w:sz w:val="28"/>
          <w:szCs w:val="28"/>
        </w:rPr>
        <w:t>，</w:t>
      </w:r>
      <w:r w:rsidR="00FD31EE">
        <w:rPr>
          <w:rFonts w:asciiTheme="minorEastAsia" w:eastAsiaTheme="minorEastAsia" w:hAnsiTheme="minorEastAsia" w:cs="Arial" w:hint="eastAsia"/>
          <w:sz w:val="28"/>
          <w:szCs w:val="28"/>
        </w:rPr>
        <w:t>人们</w:t>
      </w:r>
      <w:r w:rsidR="00E542CA">
        <w:rPr>
          <w:rFonts w:asciiTheme="minorEastAsia" w:eastAsiaTheme="minorEastAsia" w:hAnsiTheme="minorEastAsia" w:cs="Arial" w:hint="eastAsia"/>
          <w:sz w:val="28"/>
          <w:szCs w:val="28"/>
        </w:rPr>
        <w:t>通过</w:t>
      </w:r>
      <w:r w:rsidR="004B2929" w:rsidRPr="00E542CA">
        <w:rPr>
          <w:rFonts w:asciiTheme="minorEastAsia" w:eastAsiaTheme="minorEastAsia" w:hAnsiTheme="minorEastAsia" w:cs="Arial" w:hint="eastAsia"/>
          <w:sz w:val="28"/>
          <w:szCs w:val="28"/>
        </w:rPr>
        <w:t>飞机及</w:t>
      </w:r>
      <w:r w:rsidR="00E542CA">
        <w:rPr>
          <w:rFonts w:asciiTheme="minorEastAsia" w:eastAsiaTheme="minorEastAsia" w:hAnsiTheme="minorEastAsia" w:cs="Arial" w:hint="eastAsia"/>
          <w:sz w:val="28"/>
          <w:szCs w:val="28"/>
        </w:rPr>
        <w:t>动车</w:t>
      </w:r>
      <w:r w:rsidR="004B2929" w:rsidRPr="00E542CA">
        <w:rPr>
          <w:rFonts w:asciiTheme="minorEastAsia" w:eastAsiaTheme="minorEastAsia" w:hAnsiTheme="minorEastAsia" w:cs="Arial" w:hint="eastAsia"/>
          <w:sz w:val="28"/>
          <w:szCs w:val="28"/>
        </w:rPr>
        <w:t>出行的人员大比例增加</w:t>
      </w:r>
      <w:r w:rsidR="00FD31EE">
        <w:rPr>
          <w:rFonts w:asciiTheme="minorEastAsia" w:eastAsiaTheme="minorEastAsia" w:hAnsiTheme="minorEastAsia" w:cs="Arial" w:hint="eastAsia"/>
          <w:sz w:val="28"/>
          <w:szCs w:val="28"/>
        </w:rPr>
        <w:t>。</w:t>
      </w:r>
      <w:r w:rsidR="004B2929" w:rsidRPr="00E542CA">
        <w:rPr>
          <w:rFonts w:asciiTheme="minorEastAsia" w:eastAsiaTheme="minorEastAsia" w:hAnsiTheme="minorEastAsia" w:cs="Arial" w:hint="eastAsia"/>
          <w:sz w:val="28"/>
          <w:szCs w:val="28"/>
        </w:rPr>
        <w:t>但是，近几年交通意外的频发，为出行增加了一定的风险，</w:t>
      </w:r>
      <w:r w:rsidR="004B2929"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我们不禁担心，万一发生意外事故怎么办？</w:t>
      </w:r>
      <w:r w:rsidR="007B6800" w:rsidRPr="00E542C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4B2929" w:rsidRPr="00E542CA" w:rsidRDefault="004B2929" w:rsidP="004B2929">
      <w:pPr>
        <w:widowControl/>
        <w:spacing w:line="48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特别是在2011年7月，温州高</w:t>
      </w:r>
      <w:proofErr w:type="gramStart"/>
      <w:r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铁事件</w:t>
      </w:r>
      <w:proofErr w:type="gramEnd"/>
      <w:r w:rsidRPr="00E542CA">
        <w:rPr>
          <w:rFonts w:asciiTheme="minorEastAsia" w:eastAsiaTheme="minorEastAsia" w:hAnsiTheme="minorEastAsia"/>
          <w:sz w:val="28"/>
          <w:szCs w:val="28"/>
        </w:rPr>
        <w:t>引起</w:t>
      </w:r>
      <w:r w:rsidRPr="00E542CA">
        <w:rPr>
          <w:rFonts w:asciiTheme="minorEastAsia" w:eastAsiaTheme="minorEastAsia" w:hAnsiTheme="minorEastAsia" w:hint="eastAsia"/>
          <w:sz w:val="28"/>
          <w:szCs w:val="28"/>
        </w:rPr>
        <w:t>了全国</w:t>
      </w:r>
      <w:r w:rsidRPr="00E542CA">
        <w:rPr>
          <w:rFonts w:asciiTheme="minorEastAsia" w:eastAsiaTheme="minorEastAsia" w:hAnsiTheme="minorEastAsia"/>
          <w:sz w:val="28"/>
          <w:szCs w:val="28"/>
        </w:rPr>
        <w:t>广泛关注</w:t>
      </w:r>
      <w:r w:rsidRPr="00E542C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今年3月，</w:t>
      </w:r>
      <w:r w:rsidR="00716C09" w:rsidRPr="00E542CA">
        <w:rPr>
          <w:rFonts w:asciiTheme="minorEastAsia" w:eastAsiaTheme="minorEastAsia" w:hAnsiTheme="minorEastAsia"/>
          <w:sz w:val="28"/>
          <w:szCs w:val="28"/>
        </w:rPr>
        <w:t>马航客机</w:t>
      </w:r>
      <w:proofErr w:type="gramStart"/>
      <w:r w:rsidR="00716C09" w:rsidRPr="00E542CA">
        <w:rPr>
          <w:rFonts w:asciiTheme="minorEastAsia" w:eastAsiaTheme="minorEastAsia" w:hAnsiTheme="minorEastAsia"/>
          <w:sz w:val="28"/>
          <w:szCs w:val="28"/>
        </w:rPr>
        <w:t>失联事件</w:t>
      </w:r>
      <w:proofErr w:type="gramEnd"/>
      <w:r w:rsidR="00716C09" w:rsidRPr="00E542CA">
        <w:rPr>
          <w:rFonts w:asciiTheme="minorEastAsia" w:eastAsiaTheme="minorEastAsia" w:hAnsiTheme="minorEastAsia"/>
          <w:sz w:val="28"/>
          <w:szCs w:val="28"/>
        </w:rPr>
        <w:t>突发，</w:t>
      </w:r>
      <w:r w:rsidRPr="00E542CA">
        <w:rPr>
          <w:rFonts w:asciiTheme="minorEastAsia" w:eastAsiaTheme="minorEastAsia" w:hAnsiTheme="minorEastAsia" w:hint="eastAsia"/>
          <w:sz w:val="28"/>
          <w:szCs w:val="28"/>
        </w:rPr>
        <w:t>牵动亿万国民的心</w:t>
      </w:r>
      <w:r w:rsidRPr="00E542CA">
        <w:rPr>
          <w:rFonts w:asciiTheme="minorEastAsia" w:eastAsiaTheme="minorEastAsia" w:hAnsiTheme="minorEastAsia"/>
          <w:sz w:val="28"/>
          <w:szCs w:val="28"/>
        </w:rPr>
        <w:t>。中国保监会第一时间发布紧急通知，要求各保险公司做好</w:t>
      </w:r>
      <w:r w:rsidRPr="00E542CA">
        <w:rPr>
          <w:rFonts w:asciiTheme="minorEastAsia" w:eastAsiaTheme="minorEastAsia" w:hAnsiTheme="minorEastAsia" w:hint="eastAsia"/>
          <w:sz w:val="28"/>
          <w:szCs w:val="28"/>
        </w:rPr>
        <w:t>事件</w:t>
      </w:r>
      <w:r w:rsidRPr="00E542CA">
        <w:rPr>
          <w:rFonts w:asciiTheme="minorEastAsia" w:eastAsiaTheme="minorEastAsia" w:hAnsiTheme="minorEastAsia"/>
          <w:sz w:val="28"/>
          <w:szCs w:val="28"/>
        </w:rPr>
        <w:t>相关</w:t>
      </w:r>
      <w:r w:rsidRPr="00E542CA">
        <w:rPr>
          <w:rFonts w:asciiTheme="minorEastAsia" w:eastAsiaTheme="minorEastAsia" w:hAnsiTheme="minorEastAsia" w:hint="eastAsia"/>
          <w:sz w:val="28"/>
          <w:szCs w:val="28"/>
        </w:rPr>
        <w:t>的处理</w:t>
      </w:r>
      <w:r w:rsidRPr="00E542CA">
        <w:rPr>
          <w:rFonts w:asciiTheme="minorEastAsia" w:eastAsiaTheme="minorEastAsia" w:hAnsiTheme="minorEastAsia"/>
          <w:sz w:val="28"/>
          <w:szCs w:val="28"/>
        </w:rPr>
        <w:t>工作，</w:t>
      </w:r>
      <w:r w:rsidRPr="00E542CA">
        <w:rPr>
          <w:rFonts w:asciiTheme="minorEastAsia" w:eastAsiaTheme="minorEastAsia" w:hAnsiTheme="minorEastAsia" w:hint="eastAsia"/>
          <w:sz w:val="28"/>
          <w:szCs w:val="28"/>
        </w:rPr>
        <w:t>同时</w:t>
      </w:r>
      <w:r w:rsidRPr="00E542CA">
        <w:rPr>
          <w:rFonts w:asciiTheme="minorEastAsia" w:eastAsiaTheme="minorEastAsia" w:hAnsiTheme="minorEastAsia"/>
          <w:sz w:val="28"/>
          <w:szCs w:val="28"/>
        </w:rPr>
        <w:t>提醒公众要</w:t>
      </w:r>
      <w:r w:rsidRPr="00E542CA">
        <w:rPr>
          <w:rFonts w:asciiTheme="minorEastAsia" w:eastAsiaTheme="minorEastAsia" w:hAnsiTheme="minorEastAsia" w:hint="eastAsia"/>
          <w:sz w:val="28"/>
          <w:szCs w:val="28"/>
        </w:rPr>
        <w:t>提高风险防范意识，</w:t>
      </w:r>
      <w:r w:rsidRPr="00E542CA">
        <w:rPr>
          <w:rFonts w:asciiTheme="minorEastAsia" w:eastAsiaTheme="minorEastAsia" w:hAnsiTheme="minorEastAsia"/>
          <w:sz w:val="28"/>
          <w:szCs w:val="28"/>
        </w:rPr>
        <w:t>关注</w:t>
      </w:r>
      <w:r w:rsidR="00F726D7" w:rsidRPr="00E542CA">
        <w:rPr>
          <w:rFonts w:asciiTheme="minorEastAsia" w:eastAsiaTheme="minorEastAsia" w:hAnsiTheme="minorEastAsia" w:hint="eastAsia"/>
          <w:sz w:val="28"/>
          <w:szCs w:val="28"/>
        </w:rPr>
        <w:t>交通</w:t>
      </w:r>
      <w:r w:rsidRPr="00E542CA">
        <w:rPr>
          <w:rFonts w:asciiTheme="minorEastAsia" w:eastAsiaTheme="minorEastAsia" w:hAnsiTheme="minorEastAsia"/>
          <w:sz w:val="28"/>
          <w:szCs w:val="28"/>
        </w:rPr>
        <w:t>意外事故保障，乘坐</w:t>
      </w:r>
      <w:r w:rsidRPr="00E542CA">
        <w:rPr>
          <w:rFonts w:asciiTheme="minorEastAsia" w:eastAsiaTheme="minorEastAsia" w:hAnsiTheme="minorEastAsia" w:hint="eastAsia"/>
          <w:sz w:val="28"/>
          <w:szCs w:val="28"/>
        </w:rPr>
        <w:t>交通工具出行</w:t>
      </w:r>
      <w:r w:rsidRPr="00E542CA">
        <w:rPr>
          <w:rFonts w:asciiTheme="minorEastAsia" w:eastAsiaTheme="minorEastAsia" w:hAnsiTheme="minorEastAsia"/>
          <w:sz w:val="28"/>
          <w:szCs w:val="28"/>
        </w:rPr>
        <w:t>别</w:t>
      </w:r>
      <w:r w:rsidRPr="00E542CA">
        <w:rPr>
          <w:rFonts w:asciiTheme="minorEastAsia" w:eastAsiaTheme="minorEastAsia" w:hAnsiTheme="minorEastAsia" w:hint="eastAsia"/>
          <w:sz w:val="28"/>
          <w:szCs w:val="28"/>
        </w:rPr>
        <w:t>忘记</w:t>
      </w:r>
      <w:r w:rsidRPr="00E542CA">
        <w:rPr>
          <w:rFonts w:asciiTheme="minorEastAsia" w:eastAsiaTheme="minorEastAsia" w:hAnsiTheme="minorEastAsia"/>
          <w:sz w:val="28"/>
          <w:szCs w:val="28"/>
        </w:rPr>
        <w:t>买一份保险</w:t>
      </w:r>
      <w:r w:rsidRPr="00E542CA">
        <w:rPr>
          <w:rFonts w:asciiTheme="minorEastAsia" w:eastAsiaTheme="minorEastAsia" w:hAnsiTheme="minorEastAsia" w:cs="Tahoma" w:hint="eastAsia"/>
          <w:sz w:val="28"/>
          <w:szCs w:val="28"/>
        </w:rPr>
        <w:t>。</w:t>
      </w:r>
    </w:p>
    <w:p w:rsidR="00E8292C" w:rsidRPr="00E542CA" w:rsidRDefault="007B6800" w:rsidP="00716C09">
      <w:pPr>
        <w:widowControl/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2014年9月是泰康每一年的客户服务节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，我们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公司响应国家号召将以赠送方式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为</w:t>
      </w:r>
      <w:r w:rsidR="005F285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学校教职工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增加航空交通意外保障或铁路意外保障，以规避出行交通意外事故带来的风险。鉴于泰康的社会责任及品牌宣传的需要，</w:t>
      </w:r>
      <w:r w:rsidR="005F285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泰康人寿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免费向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贵单位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赠送全体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员工保障为</w:t>
      </w:r>
      <w:r w:rsidR="00716C09" w:rsidRPr="007B6800">
        <w:rPr>
          <w:rFonts w:asciiTheme="minorEastAsia" w:eastAsiaTheme="minorEastAsia" w:hAnsiTheme="minorEastAsia" w:cs="宋体" w:hint="eastAsia"/>
          <w:color w:val="0070C0"/>
          <w:kern w:val="0"/>
          <w:sz w:val="28"/>
          <w:szCs w:val="28"/>
        </w:rPr>
        <w:t>100万的航空意外保障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或保障为</w:t>
      </w:r>
      <w:r w:rsidR="00716C09" w:rsidRPr="007B6800">
        <w:rPr>
          <w:rFonts w:asciiTheme="minorEastAsia" w:eastAsiaTheme="minorEastAsia" w:hAnsiTheme="minorEastAsia" w:cs="宋体" w:hint="eastAsia"/>
          <w:color w:val="0070C0"/>
          <w:kern w:val="0"/>
          <w:sz w:val="28"/>
          <w:szCs w:val="28"/>
        </w:rPr>
        <w:t>50万的铁路意外保障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保险期间为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一年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，保险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期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间</w:t>
      </w:r>
      <w:r w:rsidR="00716C09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内不限出行次数。</w:t>
      </w:r>
    </w:p>
    <w:p w:rsidR="007B6800" w:rsidRPr="00B413D5" w:rsidRDefault="007B6800" w:rsidP="00B413D5">
      <w:pPr>
        <w:widowControl/>
        <w:spacing w:line="480" w:lineRule="auto"/>
        <w:ind w:firstLineChars="200" w:firstLine="560"/>
        <w:jc w:val="left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员工</w:t>
      </w:r>
      <w:r w:rsidR="00716C09"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是</w:t>
      </w:r>
      <w:r w:rsidR="005F285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学校</w:t>
      </w:r>
      <w:r w:rsidR="00716C09"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的</w:t>
      </w:r>
      <w:r w:rsidR="00B413D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最</w:t>
      </w:r>
      <w:r w:rsidR="00716C09"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宝贵财富，</w:t>
      </w:r>
      <w:proofErr w:type="gramStart"/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关爱员工</w:t>
      </w:r>
      <w:proofErr w:type="gramEnd"/>
      <w:r w:rsidR="00716C09" w:rsidRPr="00E542CA">
        <w:rPr>
          <w:rFonts w:asciiTheme="minorEastAsia" w:eastAsiaTheme="minorEastAsia" w:hAnsiTheme="minorEastAsia" w:cs="Arial"/>
          <w:sz w:val="28"/>
          <w:szCs w:val="28"/>
        </w:rPr>
        <w:t>不仅是</w:t>
      </w:r>
      <w:r w:rsidR="005F285D">
        <w:rPr>
          <w:rFonts w:asciiTheme="minorEastAsia" w:eastAsiaTheme="minorEastAsia" w:hAnsiTheme="minorEastAsia" w:cs="Arial" w:hint="eastAsia"/>
          <w:sz w:val="28"/>
          <w:szCs w:val="28"/>
        </w:rPr>
        <w:t>学校</w:t>
      </w:r>
      <w:r w:rsidR="00716C09" w:rsidRPr="00E542CA">
        <w:rPr>
          <w:rFonts w:asciiTheme="minorEastAsia" w:eastAsiaTheme="minorEastAsia" w:hAnsiTheme="minorEastAsia" w:cs="Arial" w:hint="eastAsia"/>
          <w:sz w:val="28"/>
          <w:szCs w:val="28"/>
        </w:rPr>
        <w:t>责任表现</w:t>
      </w:r>
      <w:r w:rsidR="00716C09" w:rsidRPr="00E542CA">
        <w:rPr>
          <w:rFonts w:asciiTheme="minorEastAsia" w:eastAsiaTheme="minorEastAsia" w:hAnsiTheme="minorEastAsia" w:cs="Arial"/>
          <w:sz w:val="28"/>
          <w:szCs w:val="28"/>
        </w:rPr>
        <w:t>，</w:t>
      </w:r>
      <w:r w:rsidR="00716C09" w:rsidRPr="00E542CA">
        <w:rPr>
          <w:rFonts w:asciiTheme="minorEastAsia" w:eastAsiaTheme="minorEastAsia" w:hAnsiTheme="minorEastAsia" w:cs="Arial" w:hint="eastAsia"/>
          <w:sz w:val="28"/>
          <w:szCs w:val="28"/>
        </w:rPr>
        <w:t>更</w:t>
      </w:r>
      <w:r w:rsidR="00716C09" w:rsidRPr="00E542CA">
        <w:rPr>
          <w:rFonts w:asciiTheme="minorEastAsia" w:eastAsiaTheme="minorEastAsia" w:hAnsiTheme="minorEastAsia" w:cs="Arial"/>
          <w:sz w:val="28"/>
          <w:szCs w:val="28"/>
        </w:rPr>
        <w:t>是</w:t>
      </w:r>
      <w:r w:rsidR="00716C09" w:rsidRPr="00E542CA">
        <w:rPr>
          <w:rFonts w:asciiTheme="minorEastAsia" w:eastAsiaTheme="minorEastAsia" w:hAnsiTheme="minorEastAsia" w:cs="Arial" w:hint="eastAsia"/>
          <w:sz w:val="28"/>
          <w:szCs w:val="28"/>
        </w:rPr>
        <w:t>一种</w:t>
      </w:r>
      <w:r w:rsidR="00F726D7" w:rsidRPr="00E542CA">
        <w:rPr>
          <w:rFonts w:asciiTheme="minorEastAsia" w:eastAsiaTheme="minorEastAsia" w:hAnsiTheme="minorEastAsia" w:cs="Arial" w:hint="eastAsia"/>
          <w:sz w:val="28"/>
          <w:szCs w:val="28"/>
        </w:rPr>
        <w:t>对</w:t>
      </w:r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员工</w:t>
      </w:r>
      <w:r w:rsidR="00F726D7" w:rsidRPr="00E542CA">
        <w:rPr>
          <w:rFonts w:asciiTheme="minorEastAsia" w:eastAsiaTheme="minorEastAsia" w:hAnsiTheme="minorEastAsia" w:cs="Arial" w:hint="eastAsia"/>
          <w:sz w:val="28"/>
          <w:szCs w:val="28"/>
        </w:rPr>
        <w:t>家庭关爱</w:t>
      </w:r>
      <w:r w:rsidR="00716C09" w:rsidRPr="00E542CA">
        <w:rPr>
          <w:rFonts w:asciiTheme="minorEastAsia" w:eastAsiaTheme="minorEastAsia" w:hAnsiTheme="minorEastAsia" w:cs="Arial" w:hint="eastAsia"/>
          <w:sz w:val="28"/>
          <w:szCs w:val="28"/>
        </w:rPr>
        <w:t>的</w:t>
      </w:r>
      <w:r w:rsidR="00716C09" w:rsidRPr="00E542CA">
        <w:rPr>
          <w:rFonts w:asciiTheme="minorEastAsia" w:eastAsiaTheme="minorEastAsia" w:hAnsiTheme="minorEastAsia" w:cs="Arial"/>
          <w:sz w:val="28"/>
          <w:szCs w:val="28"/>
        </w:rPr>
        <w:t>态度。</w:t>
      </w:r>
      <w:r w:rsidR="00716C09" w:rsidRPr="00E542CA">
        <w:rPr>
          <w:rFonts w:asciiTheme="minorEastAsia" w:eastAsiaTheme="minorEastAsia" w:hAnsiTheme="minorEastAsia" w:cs="Arial" w:hint="eastAsia"/>
          <w:sz w:val="28"/>
          <w:szCs w:val="28"/>
        </w:rPr>
        <w:t>我们相信，</w:t>
      </w:r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作为</w:t>
      </w:r>
      <w:r w:rsidR="005F285D">
        <w:rPr>
          <w:rFonts w:asciiTheme="minorEastAsia" w:eastAsiaTheme="minorEastAsia" w:hAnsiTheme="minorEastAsia" w:cs="Arial" w:hint="eastAsia"/>
          <w:sz w:val="28"/>
          <w:szCs w:val="28"/>
        </w:rPr>
        <w:t>学校</w:t>
      </w:r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的管理者愿意</w:t>
      </w:r>
      <w:r w:rsidR="00716C09" w:rsidRPr="00E542CA">
        <w:rPr>
          <w:rFonts w:asciiTheme="minorEastAsia" w:eastAsiaTheme="minorEastAsia" w:hAnsiTheme="minorEastAsia" w:cs="Arial" w:hint="eastAsia"/>
          <w:sz w:val="28"/>
          <w:szCs w:val="28"/>
        </w:rPr>
        <w:t>为</w:t>
      </w:r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每一个员工</w:t>
      </w:r>
      <w:r w:rsidR="00716C09" w:rsidRPr="00E542CA">
        <w:rPr>
          <w:rFonts w:asciiTheme="minorEastAsia" w:eastAsiaTheme="minorEastAsia" w:hAnsiTheme="minorEastAsia" w:cs="Arial" w:hint="eastAsia"/>
          <w:sz w:val="28"/>
          <w:szCs w:val="28"/>
        </w:rPr>
        <w:t>撑起</w:t>
      </w:r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一把</w:t>
      </w:r>
      <w:r w:rsidR="00716C09" w:rsidRPr="00E542CA">
        <w:rPr>
          <w:rFonts w:asciiTheme="minorEastAsia" w:eastAsiaTheme="minorEastAsia" w:hAnsiTheme="minorEastAsia" w:cs="Arial" w:hint="eastAsia"/>
          <w:sz w:val="28"/>
          <w:szCs w:val="28"/>
        </w:rPr>
        <w:t>保护伞，</w:t>
      </w:r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让我们的</w:t>
      </w:r>
      <w:r w:rsidR="005F285D">
        <w:rPr>
          <w:rFonts w:asciiTheme="minorEastAsia" w:eastAsiaTheme="minorEastAsia" w:hAnsiTheme="minorEastAsia" w:cs="Arial" w:hint="eastAsia"/>
          <w:sz w:val="28"/>
          <w:szCs w:val="28"/>
        </w:rPr>
        <w:t>学校</w:t>
      </w:r>
      <w:r w:rsidR="00716C09" w:rsidRPr="00E542CA">
        <w:rPr>
          <w:rFonts w:asciiTheme="minorEastAsia" w:eastAsiaTheme="minorEastAsia" w:hAnsiTheme="minorEastAsia" w:cs="Arial" w:hint="eastAsia"/>
          <w:sz w:val="28"/>
          <w:szCs w:val="28"/>
        </w:rPr>
        <w:t>更加的具有向心力！</w:t>
      </w:r>
      <w:r w:rsidR="005F285D">
        <w:rPr>
          <w:rFonts w:asciiTheme="minorEastAsia" w:eastAsiaTheme="minorEastAsia" w:hAnsiTheme="minorEastAsia" w:cs="Arial" w:hint="eastAsia"/>
          <w:sz w:val="28"/>
          <w:szCs w:val="28"/>
        </w:rPr>
        <w:t>泰康人寿</w:t>
      </w:r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愿意</w:t>
      </w:r>
      <w:proofErr w:type="gramStart"/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助</w:t>
      </w:r>
      <w:r w:rsidR="005F285D">
        <w:rPr>
          <w:rFonts w:asciiTheme="minorEastAsia" w:eastAsiaTheme="minorEastAsia" w:hAnsiTheme="minorEastAsia" w:cs="Arial" w:hint="eastAsia"/>
          <w:sz w:val="28"/>
          <w:szCs w:val="28"/>
        </w:rPr>
        <w:t>学校</w:t>
      </w:r>
      <w:proofErr w:type="gramEnd"/>
      <w:r w:rsidR="00B413D5">
        <w:rPr>
          <w:rFonts w:asciiTheme="minorEastAsia" w:eastAsiaTheme="minorEastAsia" w:hAnsiTheme="minorEastAsia" w:cs="Arial" w:hint="eastAsia"/>
          <w:sz w:val="28"/>
          <w:szCs w:val="28"/>
        </w:rPr>
        <w:t>一臂之力。</w:t>
      </w:r>
    </w:p>
    <w:p w:rsidR="00716C09" w:rsidRPr="00171F25" w:rsidRDefault="00F726D7" w:rsidP="00716C09">
      <w:pPr>
        <w:widowControl/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</w:t>
      </w:r>
      <w:r w:rsidRPr="00171F2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  <w:r w:rsidR="005F285D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泰康人寿</w:t>
      </w:r>
      <w:r w:rsidRPr="00171F25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保险股份有限公司福建分公司</w:t>
      </w:r>
    </w:p>
    <w:p w:rsidR="00F726D7" w:rsidRPr="00171F25" w:rsidRDefault="00F726D7" w:rsidP="00716C09">
      <w:pPr>
        <w:widowControl/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171F2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 xml:space="preserve">                                </w:t>
      </w:r>
      <w:r w:rsidRPr="00171F25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二零一四年</w:t>
      </w:r>
      <w:r w:rsidR="007B6800" w:rsidRPr="00171F25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九</w:t>
      </w:r>
      <w:r w:rsidRPr="00171F25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月</w:t>
      </w:r>
    </w:p>
    <w:p w:rsidR="00F726D7" w:rsidRPr="00E542CA" w:rsidRDefault="00F726D7" w:rsidP="00F726D7">
      <w:pPr>
        <w:widowControl/>
        <w:spacing w:line="480" w:lineRule="auto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赠送险种介绍：</w:t>
      </w:r>
    </w:p>
    <w:p w:rsidR="00F726D7" w:rsidRPr="00E542CA" w:rsidRDefault="00F726D7" w:rsidP="00F726D7">
      <w:pPr>
        <w:pStyle w:val="a5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航空意外保障100万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1984"/>
        <w:gridCol w:w="5670"/>
      </w:tblGrid>
      <w:tr w:rsidR="00F726D7" w:rsidRPr="00E542CA" w:rsidTr="00F726D7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5670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飞常宝</w:t>
            </w:r>
            <w:proofErr w:type="gramEnd"/>
          </w:p>
        </w:tc>
      </w:tr>
      <w:tr w:rsidR="00F726D7" w:rsidRPr="00E542CA" w:rsidTr="00F726D7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保障范围</w:t>
            </w:r>
          </w:p>
        </w:tc>
        <w:tc>
          <w:tcPr>
            <w:tcW w:w="5670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航空意外</w:t>
            </w:r>
          </w:p>
        </w:tc>
      </w:tr>
      <w:tr w:rsidR="00F726D7" w:rsidRPr="00E542CA" w:rsidTr="00F726D7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投保年龄</w:t>
            </w:r>
          </w:p>
        </w:tc>
        <w:tc>
          <w:tcPr>
            <w:tcW w:w="5670" w:type="dxa"/>
          </w:tcPr>
          <w:p w:rsidR="00F726D7" w:rsidRPr="00E542CA" w:rsidRDefault="00B413D5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  <w:r w:rsidRPr="00E542CA">
              <w:rPr>
                <w:rFonts w:asciiTheme="minorEastAsia" w:eastAsiaTheme="minorEastAsia" w:hAnsiTheme="minorEastAsia"/>
                <w:sz w:val="28"/>
                <w:szCs w:val="28"/>
              </w:rPr>
              <w:t>周岁</w:t>
            </w:r>
            <w:r w:rsidR="00F726D7" w:rsidRPr="00E542CA">
              <w:rPr>
                <w:rFonts w:asciiTheme="minorEastAsia" w:eastAsiaTheme="minorEastAsia" w:hAnsiTheme="minorEastAsia"/>
                <w:sz w:val="28"/>
                <w:szCs w:val="28"/>
              </w:rPr>
              <w:t>到80周岁的中国公民</w:t>
            </w:r>
          </w:p>
        </w:tc>
      </w:tr>
      <w:tr w:rsidR="00F726D7" w:rsidRPr="00E542CA" w:rsidTr="00F726D7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保额</w:t>
            </w:r>
          </w:p>
        </w:tc>
        <w:tc>
          <w:tcPr>
            <w:tcW w:w="5670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100万</w:t>
            </w:r>
          </w:p>
        </w:tc>
      </w:tr>
      <w:tr w:rsidR="00F726D7" w:rsidRPr="00E542CA" w:rsidTr="00F726D7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保险期间</w:t>
            </w:r>
          </w:p>
        </w:tc>
        <w:tc>
          <w:tcPr>
            <w:tcW w:w="5670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1年</w:t>
            </w:r>
          </w:p>
        </w:tc>
      </w:tr>
      <w:tr w:rsidR="00F726D7" w:rsidRPr="00E542CA" w:rsidTr="00F726D7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保险责任</w:t>
            </w:r>
          </w:p>
        </w:tc>
        <w:tc>
          <w:tcPr>
            <w:tcW w:w="5670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意外身故、意外残疾</w:t>
            </w:r>
          </w:p>
        </w:tc>
      </w:tr>
    </w:tbl>
    <w:p w:rsidR="00F726D7" w:rsidRPr="00E93C8C" w:rsidRDefault="00E542CA" w:rsidP="00E93C8C">
      <w:pPr>
        <w:pStyle w:val="a5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高铁</w:t>
      </w:r>
      <w:r w:rsidR="00F726D7" w:rsidRPr="00E542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意外保障50万</w:t>
      </w:r>
    </w:p>
    <w:tbl>
      <w:tblPr>
        <w:tblStyle w:val="a4"/>
        <w:tblW w:w="7654" w:type="dxa"/>
        <w:tblInd w:w="534" w:type="dxa"/>
        <w:tblLayout w:type="fixed"/>
        <w:tblLook w:val="04A0"/>
      </w:tblPr>
      <w:tblGrid>
        <w:gridCol w:w="1984"/>
        <w:gridCol w:w="5670"/>
      </w:tblGrid>
      <w:tr w:rsidR="00F726D7" w:rsidRPr="00E542CA" w:rsidTr="00D87850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5670" w:type="dxa"/>
          </w:tcPr>
          <w:p w:rsidR="00F726D7" w:rsidRPr="00E542CA" w:rsidRDefault="00F726D7" w:rsidP="00E93C8C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铁定宝</w:t>
            </w:r>
          </w:p>
        </w:tc>
      </w:tr>
      <w:tr w:rsidR="00F726D7" w:rsidRPr="00E542CA" w:rsidTr="00D87850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保障范围</w:t>
            </w:r>
          </w:p>
        </w:tc>
        <w:tc>
          <w:tcPr>
            <w:tcW w:w="5670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hint="eastAsia"/>
                <w:sz w:val="28"/>
                <w:szCs w:val="28"/>
              </w:rPr>
              <w:t>搭乘高铁、城际和动车时发生的意外</w:t>
            </w:r>
          </w:p>
          <w:p w:rsidR="00D87850" w:rsidRPr="00E542CA" w:rsidRDefault="00D87850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hint="eastAsia"/>
                <w:sz w:val="28"/>
                <w:szCs w:val="28"/>
              </w:rPr>
              <w:t>（仅限G/C/D开头的列车）</w:t>
            </w:r>
          </w:p>
        </w:tc>
      </w:tr>
      <w:tr w:rsidR="00F726D7" w:rsidRPr="00E542CA" w:rsidTr="00D87850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投保年龄</w:t>
            </w:r>
          </w:p>
        </w:tc>
        <w:tc>
          <w:tcPr>
            <w:tcW w:w="5670" w:type="dxa"/>
          </w:tcPr>
          <w:p w:rsidR="00F726D7" w:rsidRPr="00E542CA" w:rsidRDefault="00B413D5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  <w:r w:rsidRPr="00E542CA">
              <w:rPr>
                <w:rFonts w:asciiTheme="minorEastAsia" w:eastAsiaTheme="minorEastAsia" w:hAnsiTheme="minorEastAsia"/>
                <w:sz w:val="28"/>
                <w:szCs w:val="28"/>
              </w:rPr>
              <w:t>周岁</w:t>
            </w:r>
            <w:r w:rsidR="00F726D7" w:rsidRPr="00E542CA">
              <w:rPr>
                <w:rFonts w:asciiTheme="minorEastAsia" w:eastAsiaTheme="minorEastAsia" w:hAnsiTheme="minorEastAsia"/>
                <w:sz w:val="28"/>
                <w:szCs w:val="28"/>
              </w:rPr>
              <w:t>到80周岁的中国公民</w:t>
            </w:r>
          </w:p>
        </w:tc>
      </w:tr>
      <w:tr w:rsidR="00F726D7" w:rsidRPr="00E542CA" w:rsidTr="00D87850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保额</w:t>
            </w:r>
          </w:p>
        </w:tc>
        <w:tc>
          <w:tcPr>
            <w:tcW w:w="5670" w:type="dxa"/>
          </w:tcPr>
          <w:p w:rsidR="00F726D7" w:rsidRPr="00E542CA" w:rsidRDefault="00F726D7" w:rsidP="0077667B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hint="eastAsia"/>
                <w:sz w:val="28"/>
                <w:szCs w:val="28"/>
              </w:rPr>
              <w:t>50万</w:t>
            </w:r>
          </w:p>
        </w:tc>
      </w:tr>
      <w:tr w:rsidR="00F726D7" w:rsidRPr="00E542CA" w:rsidTr="00D87850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保险期间</w:t>
            </w:r>
          </w:p>
        </w:tc>
        <w:tc>
          <w:tcPr>
            <w:tcW w:w="5670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1年</w:t>
            </w:r>
          </w:p>
        </w:tc>
      </w:tr>
      <w:tr w:rsidR="00F726D7" w:rsidRPr="00E542CA" w:rsidTr="00D87850">
        <w:tc>
          <w:tcPr>
            <w:tcW w:w="1984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保险责任</w:t>
            </w:r>
          </w:p>
        </w:tc>
        <w:tc>
          <w:tcPr>
            <w:tcW w:w="5670" w:type="dxa"/>
          </w:tcPr>
          <w:p w:rsidR="00F726D7" w:rsidRPr="00E542CA" w:rsidRDefault="00F726D7" w:rsidP="00575DD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42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意外身故、意外伤残</w:t>
            </w:r>
          </w:p>
        </w:tc>
      </w:tr>
    </w:tbl>
    <w:p w:rsidR="00D87850" w:rsidRPr="00B413D5" w:rsidRDefault="00D87850" w:rsidP="00E542C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  <w:u w:val="single"/>
        </w:rPr>
      </w:pPr>
      <w:r w:rsidRPr="00B413D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温馨提示：对同一被保险人，</w:t>
      </w:r>
      <w:proofErr w:type="gramStart"/>
      <w:r w:rsidRPr="00B413D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“铁定保”赠险与</w:t>
      </w:r>
      <w:proofErr w:type="gramEnd"/>
      <w:r w:rsidRPr="00B413D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“飞常保”</w:t>
      </w:r>
      <w:proofErr w:type="gramStart"/>
      <w:r w:rsidRPr="00B413D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赠险只能</w:t>
      </w:r>
      <w:proofErr w:type="gramEnd"/>
      <w:r w:rsidRPr="00B413D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择</w:t>
      </w:r>
      <w:proofErr w:type="gramStart"/>
      <w:r w:rsidRPr="00B413D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一</w:t>
      </w:r>
      <w:proofErr w:type="gramEnd"/>
      <w:r w:rsidRPr="00B413D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投保且仅限一份，已获</w:t>
      </w:r>
      <w:proofErr w:type="gramStart"/>
      <w:r w:rsidRPr="00B413D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“飞常保”赠险的</w:t>
      </w:r>
      <w:proofErr w:type="gramEnd"/>
      <w:r w:rsidRPr="00B413D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客户不能再投保“铁定保”赠险。</w:t>
      </w:r>
    </w:p>
    <w:p w:rsidR="00B413D5" w:rsidRDefault="00B413D5" w:rsidP="00D87850">
      <w:pPr>
        <w:widowControl/>
        <w:jc w:val="left"/>
        <w:rPr>
          <w:rFonts w:asciiTheme="minorEastAsia" w:eastAsiaTheme="minorEastAsia" w:hAnsiTheme="minorEastAsia" w:cs="Arial"/>
          <w:b/>
          <w:sz w:val="28"/>
          <w:szCs w:val="28"/>
        </w:rPr>
      </w:pPr>
    </w:p>
    <w:p w:rsidR="00B413D5" w:rsidRDefault="00B413D5" w:rsidP="00D87850">
      <w:pPr>
        <w:widowControl/>
        <w:jc w:val="left"/>
        <w:rPr>
          <w:rFonts w:asciiTheme="minorEastAsia" w:eastAsiaTheme="minorEastAsia" w:hAnsiTheme="minorEastAsia" w:cs="Arial"/>
          <w:b/>
          <w:sz w:val="28"/>
          <w:szCs w:val="28"/>
        </w:rPr>
      </w:pPr>
    </w:p>
    <w:p w:rsidR="00D87850" w:rsidRPr="00E542CA" w:rsidRDefault="00D87850" w:rsidP="00D87850">
      <w:pPr>
        <w:widowControl/>
        <w:jc w:val="left"/>
        <w:rPr>
          <w:rFonts w:asciiTheme="minorEastAsia" w:eastAsiaTheme="minorEastAsia" w:hAnsiTheme="minorEastAsia" w:cs="Arial"/>
          <w:b/>
          <w:sz w:val="28"/>
          <w:szCs w:val="28"/>
        </w:rPr>
      </w:pPr>
      <w:r w:rsidRPr="00E542CA">
        <w:rPr>
          <w:rFonts w:asciiTheme="minorEastAsia" w:eastAsiaTheme="minorEastAsia" w:hAnsiTheme="minorEastAsia" w:cs="Arial" w:hint="eastAsia"/>
          <w:b/>
          <w:sz w:val="28"/>
          <w:szCs w:val="28"/>
        </w:rPr>
        <w:t>三、投保方式</w:t>
      </w:r>
    </w:p>
    <w:p w:rsidR="00D87850" w:rsidRPr="00E542CA" w:rsidRDefault="00D87850" w:rsidP="00B413D5">
      <w:pPr>
        <w:widowControl/>
        <w:ind w:firstLineChars="200" w:firstLine="562"/>
        <w:jc w:val="left"/>
        <w:rPr>
          <w:rFonts w:asciiTheme="minorEastAsia" w:eastAsiaTheme="minorEastAsia" w:hAnsiTheme="minorEastAsia" w:cs="Arial"/>
          <w:b/>
          <w:sz w:val="28"/>
          <w:szCs w:val="28"/>
        </w:rPr>
      </w:pPr>
      <w:r w:rsidRPr="00E542CA">
        <w:rPr>
          <w:rFonts w:asciiTheme="minorEastAsia" w:eastAsiaTheme="minorEastAsia" w:hAnsiTheme="minorEastAsia" w:cs="Arial" w:hint="eastAsia"/>
          <w:b/>
          <w:sz w:val="28"/>
          <w:szCs w:val="28"/>
        </w:rPr>
        <w:t>批量投保</w:t>
      </w:r>
    </w:p>
    <w:p w:rsidR="00D87850" w:rsidRPr="00E542CA" w:rsidRDefault="00D87850" w:rsidP="00E542CA">
      <w:pPr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所需材料：</w:t>
      </w:r>
    </w:p>
    <w:p w:rsidR="00D87850" w:rsidRPr="00E542CA" w:rsidRDefault="005F285D" w:rsidP="00D87850">
      <w:pPr>
        <w:ind w:firstLineChars="250" w:firstLine="70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学校</w:t>
      </w:r>
      <w:r w:rsidR="00D87850"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名称、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学校</w:t>
      </w:r>
      <w:r w:rsidR="00D87850"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员工花名册（包含姓名、身份证、手机，</w:t>
      </w:r>
      <w:proofErr w:type="gramStart"/>
      <w:r w:rsidR="00D87850"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需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学校</w:t>
      </w:r>
      <w:proofErr w:type="gramEnd"/>
      <w:r w:rsidR="00D87850"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盖公章）</w:t>
      </w:r>
    </w:p>
    <w:p w:rsidR="00D87850" w:rsidRPr="00E542CA" w:rsidRDefault="00D87850" w:rsidP="00D87850">
      <w:pPr>
        <w:ind w:firstLineChars="50" w:firstLine="1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（注：以上材料需电子版和纸质盖章版各一份）</w:t>
      </w:r>
    </w:p>
    <w:p w:rsidR="00D87850" w:rsidRPr="00E542CA" w:rsidRDefault="00D87850" w:rsidP="00D87850">
      <w:pPr>
        <w:ind w:firstLineChars="200" w:firstLine="562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备注</w:t>
      </w:r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：批量注册成功后，系统会自动发送承保短信，如果客户不同意赠送，回复短信次日系统将退保。</w:t>
      </w:r>
    </w:p>
    <w:p w:rsidR="00F726D7" w:rsidRDefault="00D87850" w:rsidP="0077667B">
      <w:pPr>
        <w:widowControl/>
        <w:ind w:firstLine="70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（短信内容：尊敬的XX，泰康人寿为贵</w:t>
      </w:r>
      <w:r w:rsidR="005F285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学校教职工</w:t>
      </w:r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赠送一年期</w:t>
      </w:r>
      <w:r w:rsid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10</w:t>
      </w:r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0万保额的航意险，保障号码*</w:t>
      </w:r>
      <w:proofErr w:type="spellStart"/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xxxx</w:t>
      </w:r>
      <w:proofErr w:type="spellEnd"/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。若</w:t>
      </w:r>
      <w:proofErr w:type="gramStart"/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需咨询请</w:t>
      </w:r>
      <w:proofErr w:type="gramEnd"/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致电95522，若不</w:t>
      </w:r>
      <w:proofErr w:type="gramStart"/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领取请</w:t>
      </w:r>
      <w:proofErr w:type="gramEnd"/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三日内回复</w:t>
      </w:r>
      <w:r w:rsidRPr="00E542C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“</w:t>
      </w:r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TBFCB</w:t>
      </w:r>
      <w:r w:rsidRPr="00E542C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”</w:t>
      </w:r>
      <w:r w:rsidRPr="00E542C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[泰康人寿]）</w:t>
      </w:r>
    </w:p>
    <w:p w:rsidR="0077667B" w:rsidRDefault="0077667B" w:rsidP="0077667B">
      <w:pPr>
        <w:widowControl/>
        <w:ind w:firstLine="70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结束语：感谢贵单位一直以来给予泰康的支持！</w:t>
      </w:r>
      <w:r w:rsidR="007D673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祝您和您的家人万事如意！</w:t>
      </w:r>
    </w:p>
    <w:p w:rsidR="007D6734" w:rsidRDefault="007D6734" w:rsidP="0077667B">
      <w:pPr>
        <w:widowControl/>
        <w:ind w:firstLine="70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D6734" w:rsidRDefault="007D6734" w:rsidP="0077667B">
      <w:pPr>
        <w:widowControl/>
        <w:ind w:firstLine="70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D6734" w:rsidRDefault="007D6734" w:rsidP="0077667B">
      <w:pPr>
        <w:widowControl/>
        <w:ind w:firstLine="70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D6734" w:rsidRDefault="007D6734" w:rsidP="0077667B">
      <w:pPr>
        <w:widowControl/>
        <w:ind w:firstLine="70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D6734" w:rsidRDefault="007D6734" w:rsidP="0077667B">
      <w:pPr>
        <w:widowControl/>
        <w:ind w:firstLine="70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D6734" w:rsidRDefault="007D6734" w:rsidP="0077667B">
      <w:pPr>
        <w:widowControl/>
        <w:ind w:firstLine="70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D6734" w:rsidRDefault="007D6734" w:rsidP="0077667B">
      <w:pPr>
        <w:widowControl/>
        <w:ind w:firstLine="70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D6734" w:rsidRPr="005F285D" w:rsidRDefault="005F285D" w:rsidP="005F285D">
      <w:pPr>
        <w:spacing w:line="360" w:lineRule="auto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泰康人寿</w:t>
      </w:r>
      <w:r w:rsidR="007D6734">
        <w:rPr>
          <w:rFonts w:hint="eastAsia"/>
          <w:b/>
          <w:sz w:val="28"/>
          <w:szCs w:val="28"/>
        </w:rPr>
        <w:t>保险股份有限公司</w:t>
      </w:r>
      <w:r>
        <w:rPr>
          <w:rFonts w:hint="eastAsia"/>
          <w:b/>
          <w:sz w:val="28"/>
          <w:szCs w:val="28"/>
        </w:rPr>
        <w:t>泉州中心支公司</w:t>
      </w:r>
    </w:p>
    <w:sectPr w:rsidR="007D6734" w:rsidRPr="005F285D" w:rsidSect="00691FC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E" w:rsidRDefault="0093675E" w:rsidP="00E542CA">
      <w:r>
        <w:separator/>
      </w:r>
    </w:p>
  </w:endnote>
  <w:endnote w:type="continuationSeparator" w:id="0">
    <w:p w:rsidR="0093675E" w:rsidRDefault="0093675E" w:rsidP="00E5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E" w:rsidRDefault="0093675E" w:rsidP="00E542CA">
      <w:r>
        <w:separator/>
      </w:r>
    </w:p>
  </w:footnote>
  <w:footnote w:type="continuationSeparator" w:id="0">
    <w:p w:rsidR="0093675E" w:rsidRDefault="0093675E" w:rsidP="00E54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CA" w:rsidRDefault="00E542CA" w:rsidP="007B6800">
    <w:pPr>
      <w:pStyle w:val="a7"/>
      <w:pBdr>
        <w:bottom w:val="single" w:sz="6" w:space="21" w:color="auto"/>
      </w:pBdr>
      <w:ind w:firstLineChars="3000" w:firstLine="5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C2F"/>
    <w:multiLevelType w:val="hybridMultilevel"/>
    <w:tmpl w:val="0964ABA6"/>
    <w:lvl w:ilvl="0" w:tplc="04090005">
      <w:start w:val="1"/>
      <w:numFmt w:val="bullet"/>
      <w:lvlText w:val=""/>
      <w:lvlJc w:val="left"/>
      <w:pPr>
        <w:ind w:left="11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>
    <w:nsid w:val="29210846"/>
    <w:multiLevelType w:val="hybridMultilevel"/>
    <w:tmpl w:val="3F3E7E34"/>
    <w:lvl w:ilvl="0" w:tplc="04090005">
      <w:start w:val="1"/>
      <w:numFmt w:val="bullet"/>
      <w:lvlText w:val=""/>
      <w:lvlJc w:val="left"/>
      <w:pPr>
        <w:ind w:left="11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2FCD7FA5"/>
    <w:multiLevelType w:val="hybridMultilevel"/>
    <w:tmpl w:val="395A9996"/>
    <w:lvl w:ilvl="0" w:tplc="73ECAD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D73544"/>
    <w:multiLevelType w:val="hybridMultilevel"/>
    <w:tmpl w:val="52060290"/>
    <w:lvl w:ilvl="0" w:tplc="02F4B5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92C"/>
    <w:rsid w:val="00171F25"/>
    <w:rsid w:val="00495F07"/>
    <w:rsid w:val="004B2929"/>
    <w:rsid w:val="004B3992"/>
    <w:rsid w:val="005F285D"/>
    <w:rsid w:val="0060134E"/>
    <w:rsid w:val="00691FC1"/>
    <w:rsid w:val="00716C09"/>
    <w:rsid w:val="00734E20"/>
    <w:rsid w:val="0077667B"/>
    <w:rsid w:val="007B6800"/>
    <w:rsid w:val="007D6734"/>
    <w:rsid w:val="008232B0"/>
    <w:rsid w:val="00906421"/>
    <w:rsid w:val="0093675E"/>
    <w:rsid w:val="0096068B"/>
    <w:rsid w:val="009D2293"/>
    <w:rsid w:val="00A84D44"/>
    <w:rsid w:val="00B413D5"/>
    <w:rsid w:val="00B9557E"/>
    <w:rsid w:val="00D87850"/>
    <w:rsid w:val="00E542CA"/>
    <w:rsid w:val="00E8292C"/>
    <w:rsid w:val="00E93C8C"/>
    <w:rsid w:val="00EB7F52"/>
    <w:rsid w:val="00F726D7"/>
    <w:rsid w:val="00FD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726D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726D7"/>
    <w:rPr>
      <w:rFonts w:ascii="Calibri" w:eastAsia="宋体" w:hAnsi="Calibri" w:cs="Times New Roman"/>
    </w:rPr>
  </w:style>
  <w:style w:type="table" w:styleId="a4">
    <w:name w:val="Table Grid"/>
    <w:basedOn w:val="a1"/>
    <w:uiPriority w:val="59"/>
    <w:rsid w:val="00F726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26D7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E542C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542C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E54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542C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E54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E542CA"/>
    <w:rPr>
      <w:rFonts w:ascii="Calibri" w:eastAsia="宋体" w:hAnsi="Calibri" w:cs="Times New Roman"/>
      <w:sz w:val="18"/>
      <w:szCs w:val="18"/>
    </w:rPr>
  </w:style>
  <w:style w:type="paragraph" w:styleId="a9">
    <w:name w:val="Plain Text"/>
    <w:basedOn w:val="a"/>
    <w:link w:val="Char3"/>
    <w:rsid w:val="00171F25"/>
    <w:rPr>
      <w:rFonts w:ascii="宋体" w:hAnsi="Courier New"/>
      <w:szCs w:val="20"/>
    </w:rPr>
  </w:style>
  <w:style w:type="character" w:customStyle="1" w:styleId="Char3">
    <w:name w:val="纯文本 Char"/>
    <w:basedOn w:val="a0"/>
    <w:link w:val="a9"/>
    <w:rsid w:val="00171F2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0AEB5-9DE4-4530-98CD-3BBB80E8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</Words>
  <Characters>1019</Characters>
  <Application>Microsoft Office Word</Application>
  <DocSecurity>0</DocSecurity>
  <Lines>8</Lines>
  <Paragraphs>2</Paragraphs>
  <ScaleCrop>false</ScaleCrop>
  <Company>Lenovo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huangyayu</dc:creator>
  <cp:lastModifiedBy>zhanglc03</cp:lastModifiedBy>
  <cp:revision>2</cp:revision>
  <cp:lastPrinted>2014-09-25T03:51:00Z</cp:lastPrinted>
  <dcterms:created xsi:type="dcterms:W3CDTF">2014-09-29T02:50:00Z</dcterms:created>
  <dcterms:modified xsi:type="dcterms:W3CDTF">2014-09-29T02:50:00Z</dcterms:modified>
</cp:coreProperties>
</file>